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17DD" w:rsidTr="1C249DF1" w14:paraId="0E0A03AE" w14:textId="77777777">
        <w:tc>
          <w:tcPr>
            <w:tcW w:w="9016" w:type="dxa"/>
            <w:gridSpan w:val="2"/>
            <w:tcMar/>
          </w:tcPr>
          <w:p w:rsidR="002417DD" w:rsidP="69FA4040" w:rsidRDefault="002417DD" w14:paraId="5C539863" w14:textId="3BB8DF28">
            <w:pPr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</w:pPr>
            <w:r w:rsidRPr="1C249DF1" w:rsidR="79537F8B"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  <w:t>Land-based Support Lecturer</w:t>
            </w:r>
          </w:p>
        </w:tc>
      </w:tr>
      <w:tr w:rsidR="002417DD" w:rsidTr="1C249DF1" w14:paraId="5B263E0D" w14:textId="77777777">
        <w:tc>
          <w:tcPr>
            <w:tcW w:w="1838" w:type="dxa"/>
            <w:tcMar/>
          </w:tcPr>
          <w:p w:rsidR="002417DD" w:rsidP="69FA4040" w:rsidRDefault="002417DD" w14:paraId="313BEB66" w14:textId="71E5FA3C">
            <w:pPr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</w:pPr>
            <w:r w:rsidRPr="69FA4040" w:rsidR="002417DD"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  <w:t>Contract</w:t>
            </w:r>
          </w:p>
        </w:tc>
        <w:tc>
          <w:tcPr>
            <w:tcW w:w="7178" w:type="dxa"/>
            <w:tcMar/>
          </w:tcPr>
          <w:p w:rsidR="002417DD" w:rsidP="69FA4040" w:rsidRDefault="002417DD" w14:paraId="62C282F1" w14:textId="1EF4C465">
            <w:pPr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</w:pPr>
            <w:r w:rsidRPr="1C249DF1" w:rsidR="62D38CEA"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  <w:t>Permanent</w:t>
            </w:r>
            <w:r w:rsidRPr="1C249DF1" w:rsidR="256B7D43"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  <w:t>, year-round or term-time options available</w:t>
            </w:r>
          </w:p>
        </w:tc>
      </w:tr>
      <w:tr w:rsidR="002417DD" w:rsidTr="1C249DF1" w14:paraId="074F44D3" w14:textId="77777777">
        <w:tc>
          <w:tcPr>
            <w:tcW w:w="1838" w:type="dxa"/>
            <w:tcMar/>
          </w:tcPr>
          <w:p w:rsidR="002417DD" w:rsidP="69FA4040" w:rsidRDefault="002417DD" w14:paraId="65276524" w14:textId="7B07033F">
            <w:pPr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</w:pPr>
            <w:r w:rsidRPr="69FA4040" w:rsidR="002417DD"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  <w:t>Hours</w:t>
            </w:r>
          </w:p>
        </w:tc>
        <w:tc>
          <w:tcPr>
            <w:tcW w:w="7178" w:type="dxa"/>
            <w:tcMar/>
          </w:tcPr>
          <w:p w:rsidR="002417DD" w:rsidP="69FA4040" w:rsidRDefault="002417DD" w14:paraId="33600FEA" w14:textId="0AB7948B">
            <w:pPr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</w:pPr>
            <w:r w:rsidRPr="1C249DF1" w:rsidR="002417DD"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  <w:t>7.30-16.00 - 37.5h per week</w:t>
            </w:r>
            <w:r w:rsidRPr="1C249DF1" w:rsidR="71977896"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2417DD" w:rsidTr="1C249DF1" w14:paraId="3455F51E" w14:textId="77777777">
        <w:tc>
          <w:tcPr>
            <w:tcW w:w="1838" w:type="dxa"/>
            <w:tcMar/>
          </w:tcPr>
          <w:p w:rsidR="002417DD" w:rsidP="69FA4040" w:rsidRDefault="002417DD" w14:paraId="07100AB4" w14:textId="2DCE416C">
            <w:pPr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</w:pPr>
            <w:r w:rsidRPr="69FA4040" w:rsidR="002417DD"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  <w:t>Salary</w:t>
            </w:r>
          </w:p>
        </w:tc>
        <w:tc>
          <w:tcPr>
            <w:tcW w:w="7178" w:type="dxa"/>
            <w:tcMar/>
          </w:tcPr>
          <w:p w:rsidR="002417DD" w:rsidP="69FA4040" w:rsidRDefault="002417DD" w14:paraId="0D7749C6" w14:textId="1247295E">
            <w:pPr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</w:pPr>
            <w:r w:rsidRPr="00A58B0D" w:rsidR="002417DD"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  <w:t>£32,630 - £35,496</w:t>
            </w:r>
            <w:r w:rsidRPr="00A58B0D" w:rsidR="4693F14A"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  <w:t xml:space="preserve"> (pro-rata)</w:t>
            </w:r>
          </w:p>
        </w:tc>
      </w:tr>
      <w:tr w:rsidR="002417DD" w:rsidTr="1C249DF1" w14:paraId="777DCED8" w14:textId="77777777">
        <w:tc>
          <w:tcPr>
            <w:tcW w:w="1838" w:type="dxa"/>
            <w:tcMar/>
          </w:tcPr>
          <w:p w:rsidR="002417DD" w:rsidP="69FA4040" w:rsidRDefault="002417DD" w14:paraId="60A93E9D" w14:textId="04437C09">
            <w:pPr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</w:pPr>
            <w:r w:rsidRPr="69FA4040" w:rsidR="002417DD">
              <w:rPr>
                <w:rFonts w:ascii="Open Sans Light" w:hAnsi="Open Sans Light" w:eastAsia="Open Sans Light" w:cs="Open Sans Light"/>
                <w:b w:val="1"/>
                <w:bCs w:val="1"/>
                <w:sz w:val="28"/>
                <w:szCs w:val="28"/>
              </w:rPr>
              <w:t>Reports to</w:t>
            </w:r>
          </w:p>
        </w:tc>
        <w:tc>
          <w:tcPr>
            <w:tcW w:w="7178" w:type="dxa"/>
            <w:tcMar/>
          </w:tcPr>
          <w:p w:rsidR="002417DD" w:rsidP="69FA4040" w:rsidRDefault="002417DD" w14:paraId="57D3E826" w14:textId="5AC5B9DC">
            <w:pPr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</w:pPr>
            <w:r w:rsidRPr="69FA4040" w:rsidR="05E28A93">
              <w:rPr>
                <w:rFonts w:ascii="Open Sans Light" w:hAnsi="Open Sans Light" w:eastAsia="Open Sans Light" w:cs="Open Sans Light"/>
                <w:b w:val="0"/>
                <w:bCs w:val="0"/>
                <w:sz w:val="28"/>
                <w:szCs w:val="28"/>
              </w:rPr>
              <w:t xml:space="preserve">Vice Principal (Curriculum and Quality) </w:t>
            </w:r>
          </w:p>
        </w:tc>
      </w:tr>
    </w:tbl>
    <w:p w:rsidR="002417DD" w:rsidP="69FA4040" w:rsidRDefault="002417DD" w14:paraId="13536ED8" w14:textId="77777777" w14:noSpellErr="1">
      <w:pPr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</w:pPr>
    </w:p>
    <w:p w:rsidR="003333D6" w:rsidP="1C249DF1" w:rsidRDefault="003333D6" w14:paraId="77EEEDC6" w14:textId="28FD9358">
      <w:pPr>
        <w:pStyle w:val="Normal"/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</w:pPr>
      <w:r w:rsidRPr="1C249DF1" w:rsidR="002417DD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Plumpton College is </w:t>
      </w:r>
      <w:r w:rsidRPr="1C249DF1" w:rsidR="002417DD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seeking</w:t>
      </w:r>
      <w:r w:rsidRPr="1C249DF1" w:rsidR="002417DD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to recruit a </w:t>
      </w:r>
      <w:r w:rsidRPr="1C249DF1" w:rsidR="3BF1C5CA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Land-based Support Lecturer </w:t>
      </w:r>
      <w:r w:rsidRPr="1C249DF1" w:rsidR="002417DD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to join the College in a new role</w:t>
      </w:r>
      <w:r w:rsidRPr="1C249DF1" w:rsidR="2B576BB5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. The </w:t>
      </w:r>
      <w:r w:rsidRPr="1C249DF1" w:rsidR="6CC84F4F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Land-based Support Lecturer </w:t>
      </w:r>
      <w:r w:rsidRPr="1C249DF1" w:rsidR="2B576BB5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will</w:t>
      </w:r>
      <w:r w:rsidRPr="1C249DF1" w:rsidR="48965BA7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</w:t>
      </w:r>
      <w:r w:rsidRPr="1C249DF1" w:rsidR="250DB8F8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support all curriculum areas by delivering high-quality cover lessons when </w:t>
      </w:r>
      <w:r w:rsidRPr="1C249DF1" w:rsidR="250DB8F8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required</w:t>
      </w:r>
      <w:r w:rsidRPr="1C249DF1" w:rsidR="250DB8F8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to ensure that teaching and learning continue </w:t>
      </w:r>
      <w:r w:rsidRPr="1C249DF1" w:rsidR="250DB8F8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in the event of</w:t>
      </w:r>
      <w:r w:rsidRPr="1C249DF1" w:rsidR="250DB8F8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staff absence. The post-holder will </w:t>
      </w:r>
      <w:r w:rsidRPr="1C249DF1" w:rsidR="7A073141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oversee all aspects of staff cover, </w:t>
      </w:r>
      <w:r w:rsidRPr="1C249DF1" w:rsidR="7A073141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develop</w:t>
      </w:r>
      <w:r w:rsidRPr="1C249DF1" w:rsidR="7A073141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and manage the College cover </w:t>
      </w:r>
      <w:r w:rsidRPr="1C249DF1" w:rsidR="2BFED74F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bank register</w:t>
      </w:r>
      <w:r w:rsidRPr="1C249DF1" w:rsidR="7A073141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, </w:t>
      </w:r>
      <w:r w:rsidRPr="1C249DF1" w:rsidR="002417DD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and </w:t>
      </w:r>
      <w:r w:rsidRPr="1C249DF1" w:rsidR="43A4BB05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will develop centralised resources for study skills which will </w:t>
      </w:r>
      <w:r w:rsidRPr="1C249DF1" w:rsidR="43A4BB05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benefit</w:t>
      </w:r>
      <w:r w:rsidRPr="1C249DF1" w:rsidR="43A4BB05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students of all levels and vocational learning areas. </w:t>
      </w:r>
    </w:p>
    <w:p w:rsidR="003333D6" w:rsidP="1C249DF1" w:rsidRDefault="003333D6" w14:paraId="165AF43B" w14:textId="02B86285">
      <w:pPr>
        <w:pStyle w:val="Normal"/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</w:pPr>
      <w:r w:rsidRPr="1C249DF1" w:rsidR="003333D6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The </w:t>
      </w:r>
      <w:r w:rsidRPr="1C249DF1" w:rsidR="0D4F914C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Land-based Support Lecturer</w:t>
      </w:r>
      <w:r w:rsidRPr="1C249DF1" w:rsidR="003333D6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will </w:t>
      </w:r>
      <w:r w:rsidRPr="1C249DF1" w:rsidR="003333D6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be responsible for</w:t>
      </w:r>
      <w:r w:rsidRPr="1C249DF1" w:rsidR="003333D6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leading lessons across all curriculum areas and levels of study when lecturers/instructors </w:t>
      </w:r>
      <w:r w:rsidRPr="1C249DF1" w:rsidR="003333D6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are </w:t>
      </w:r>
      <w:r w:rsidRPr="1C249DF1" w:rsidR="4969F07E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absent and</w:t>
      </w:r>
      <w:r w:rsidRPr="1C249DF1" w:rsidR="003333D6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will be supported by Curriculum Managers</w:t>
      </w:r>
      <w:r w:rsidRPr="1C249DF1" w:rsidR="003333D6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 xml:space="preserve"> and Assistant Curriculum Managers, as well as the College Senior Management Team. </w:t>
      </w:r>
    </w:p>
    <w:p w:rsidR="002417DD" w:rsidP="69FA4040" w:rsidRDefault="002417DD" w14:paraId="0D9D62AA" w14:textId="77777777">
      <w:pPr>
        <w:rPr>
          <w:rFonts w:ascii="Open Sans Light" w:hAnsi="Open Sans Light" w:eastAsia="Open Sans Light" w:cs="Open Sans Light"/>
          <w:b w:val="1"/>
          <w:bCs w:val="1"/>
          <w:sz w:val="22"/>
          <w:szCs w:val="22"/>
        </w:rPr>
      </w:pPr>
    </w:p>
    <w:p w:rsidRPr="002417DD" w:rsidR="002417DD" w:rsidP="69FA4040" w:rsidRDefault="002417DD" w14:paraId="08EE82D2" w14:textId="0EEE7B88">
      <w:pPr>
        <w:pStyle w:val="ListParagraph"/>
        <w:numPr>
          <w:ilvl w:val="0"/>
          <w:numId w:val="12"/>
        </w:numPr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</w:pPr>
      <w:r w:rsidRPr="69FA4040" w:rsidR="002417DD">
        <w:rPr>
          <w:rFonts w:ascii="Open Sans Light" w:hAnsi="Open Sans Light" w:eastAsia="Open Sans Light" w:cs="Open Sans Light"/>
          <w:b w:val="0"/>
          <w:bCs w:val="0"/>
          <w:sz w:val="22"/>
          <w:szCs w:val="22"/>
        </w:rPr>
        <w:t>Main Areas of Responsibility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69FA4040" w:rsidTr="69FA4040" w14:paraId="68FB206A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6696EDF5" w14:textId="1122C98D">
            <w:pPr>
              <w:pStyle w:val="ListParagraph"/>
              <w:numPr>
                <w:ilvl w:val="0"/>
                <w:numId w:val="10"/>
              </w:numPr>
              <w:spacing w:after="0" w:afterAutospacing="off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 directed by </w:t>
            </w:r>
            <w:r w:rsidRPr="69FA4040" w:rsidR="60C2DFA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Curriculum Management teams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69FA4040" w:rsidR="26D81654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deliver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highly effective</w:t>
            </w:r>
            <w:r w:rsidRPr="69FA4040" w:rsidR="47525A84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cover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lessons to a consistently good or outstanding standard. Share teaching, learning, and assessment (TLA) good practice and celebrate students’ and others’ successes</w:t>
            </w:r>
          </w:p>
        </w:tc>
      </w:tr>
      <w:tr w:rsidR="69FA4040" w:rsidTr="69FA4040" w14:paraId="1DAD37AB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836E310" w:rsidP="69FA4040" w:rsidRDefault="6836E310" w14:paraId="238B7731" w14:textId="41E847EB">
            <w:pPr>
              <w:pStyle w:val="ListParagraph"/>
              <w:numPr>
                <w:ilvl w:val="0"/>
                <w:numId w:val="10"/>
              </w:numPr>
              <w:spacing w:after="0" w:afterAutospacing="off" w:line="240" w:lineRule="auto"/>
              <w:rPr>
                <w:rFonts w:ascii="Open Sans Light" w:hAnsi="Open Sans Light" w:eastAsia="Open Sans Light" w:cs="Open Sans Light"/>
                <w:sz w:val="22"/>
                <w:szCs w:val="22"/>
              </w:rPr>
            </w:pPr>
            <w:r w:rsidRPr="69FA4040" w:rsidR="6836E310">
              <w:rPr>
                <w:rFonts w:ascii="Open Sans Light" w:hAnsi="Open Sans Light" w:eastAsia="Open Sans Light" w:cs="Open Sans Light"/>
                <w:sz w:val="22"/>
                <w:szCs w:val="22"/>
              </w:rPr>
              <w:t>Liaise with Curriculum Managers for all subject areas to gauge requirement for cover and ensure that all lessons are covered where necessary</w:t>
            </w:r>
          </w:p>
        </w:tc>
      </w:tr>
      <w:tr w:rsidR="69FA4040" w:rsidTr="69FA4040" w14:paraId="7ADF032C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174EBB09" w:rsidP="69FA4040" w:rsidRDefault="174EBB09" w14:paraId="006E0248" w14:textId="0BEB5B53">
            <w:pPr>
              <w:pStyle w:val="ListParagraph"/>
              <w:numPr>
                <w:ilvl w:val="0"/>
                <w:numId w:val="10"/>
              </w:numPr>
              <w:bidi w:val="0"/>
              <w:spacing w:line="240" w:lineRule="auto"/>
              <w:rPr>
                <w:rFonts w:ascii="Open Sans Light" w:hAnsi="Open Sans Light" w:eastAsia="Open Sans Light" w:cs="Open Sans Light"/>
                <w:sz w:val="22"/>
                <w:szCs w:val="22"/>
              </w:rPr>
            </w:pP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Supervise lessons for absent teachers - 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>allocating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, 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>explaining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 and overseeing cover work set or utilising centralised resources for study skills. Support students by providing general 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>assistance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 during cover lessons.</w:t>
            </w:r>
          </w:p>
        </w:tc>
      </w:tr>
      <w:tr w:rsidR="69FA4040" w:rsidTr="69FA4040" w14:paraId="73FA5FD0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174EBB09" w:rsidP="69FA4040" w:rsidRDefault="174EBB09" w14:paraId="4A3CEE1F" w14:textId="7D878B90">
            <w:pPr>
              <w:pStyle w:val="ListParagraph"/>
              <w:numPr>
                <w:ilvl w:val="0"/>
                <w:numId w:val="10"/>
              </w:numPr>
              <w:bidi w:val="0"/>
              <w:spacing w:line="240" w:lineRule="auto"/>
              <w:rPr>
                <w:rFonts w:ascii="Open Sans Light" w:hAnsi="Open Sans Light" w:eastAsia="Open Sans Light" w:cs="Open Sans Light"/>
                <w:sz w:val="22"/>
                <w:szCs w:val="22"/>
              </w:rPr>
            </w:pP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>Report to the Curriculum Manager or Assistant Curriculum Manager if any issues arise with cover work set to include quality or appropriateness of cover</w:t>
            </w:r>
          </w:p>
        </w:tc>
      </w:tr>
      <w:tr w:rsidR="69FA4040" w:rsidTr="69FA4040" w14:paraId="69F695BC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174EBB09" w:rsidP="69FA4040" w:rsidRDefault="174EBB09" w14:paraId="7FF71BF6" w14:textId="69C7EDE0">
            <w:pPr>
              <w:pStyle w:val="ListParagraph"/>
              <w:numPr>
                <w:ilvl w:val="0"/>
                <w:numId w:val="10"/>
              </w:numPr>
              <w:bidi w:val="0"/>
              <w:spacing w:line="240" w:lineRule="auto"/>
              <w:rPr>
                <w:rFonts w:ascii="Open Sans Light" w:hAnsi="Open Sans Light" w:eastAsia="Open Sans Light" w:cs="Open Sans Light"/>
                <w:sz w:val="22"/>
                <w:szCs w:val="22"/>
              </w:rPr>
            </w:pP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>With guidance from curriculum staff, develop a centralised bank of cover lesson resources, based around study skills, research and personal development which can be drawn by the post-holder or another member of staff if an absent colleague is unable for any reason to provide subject specific cover resources for their lesson(s)</w:t>
            </w:r>
          </w:p>
        </w:tc>
      </w:tr>
      <w:tr w:rsidR="69FA4040" w:rsidTr="69FA4040" w14:paraId="16BF31CC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174EBB09" w:rsidP="69FA4040" w:rsidRDefault="174EBB09" w14:paraId="0685FD5C" w14:textId="297B1483">
            <w:pPr>
              <w:pStyle w:val="ListParagraph"/>
              <w:numPr>
                <w:ilvl w:val="0"/>
                <w:numId w:val="10"/>
              </w:numPr>
              <w:bidi w:val="0"/>
              <w:spacing w:line="240" w:lineRule="auto"/>
              <w:rPr>
                <w:rFonts w:ascii="Open Sans Light" w:hAnsi="Open Sans Light" w:eastAsia="Open Sans Light" w:cs="Open Sans Light"/>
                <w:sz w:val="22"/>
                <w:szCs w:val="22"/>
              </w:rPr>
            </w:pP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Communicate effectively with staff across the College to ensure cover lessons are delivered at a consistently high standard 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>in order to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 support student outcomes</w:t>
            </w:r>
          </w:p>
        </w:tc>
      </w:tr>
      <w:tr w:rsidR="69FA4040" w:rsidTr="69FA4040" w14:paraId="546F2C53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174EBB09" w:rsidP="69FA4040" w:rsidRDefault="174EBB09" w14:paraId="5D359E5A" w14:textId="13E5237D">
            <w:pPr>
              <w:pStyle w:val="ListParagraph"/>
              <w:numPr>
                <w:ilvl w:val="0"/>
                <w:numId w:val="10"/>
              </w:numPr>
              <w:bidi w:val="0"/>
              <w:spacing w:line="240" w:lineRule="auto"/>
              <w:rPr>
                <w:rFonts w:ascii="Open Sans Light" w:hAnsi="Open Sans Light" w:eastAsia="Open Sans Light" w:cs="Open Sans Light"/>
                <w:sz w:val="22"/>
                <w:szCs w:val="22"/>
              </w:rPr>
            </w:pP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Develop and manage the Plumpton College cover bank register of temporary cover staff to support with delivery of cover at the College, 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>maintaining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 their engagement to support the College when the need arises</w:t>
            </w:r>
          </w:p>
        </w:tc>
      </w:tr>
      <w:tr w:rsidR="69FA4040" w:rsidTr="69FA4040" w14:paraId="7242080D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174EBB09" w:rsidP="69FA4040" w:rsidRDefault="174EBB09" w14:paraId="315582DA" w14:textId="4E6B8033">
            <w:pPr>
              <w:pStyle w:val="ListParagraph"/>
              <w:numPr>
                <w:ilvl w:val="0"/>
                <w:numId w:val="10"/>
              </w:numPr>
              <w:bidi w:val="0"/>
              <w:spacing w:line="240" w:lineRule="auto"/>
              <w:rPr>
                <w:rFonts w:ascii="Open Sans Light" w:hAnsi="Open Sans Light" w:eastAsia="Open Sans Light" w:cs="Open Sans Light"/>
                <w:sz w:val="22"/>
                <w:szCs w:val="22"/>
              </w:rPr>
            </w:pP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Collect completed work and return it to the 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>appropriate lecturer</w:t>
            </w:r>
            <w:r w:rsidRPr="69FA4040" w:rsidR="174EBB09">
              <w:rPr>
                <w:rFonts w:ascii="Open Sans Light" w:hAnsi="Open Sans Light" w:eastAsia="Open Sans Light" w:cs="Open Sans Light"/>
                <w:sz w:val="22"/>
                <w:szCs w:val="22"/>
              </w:rPr>
              <w:t xml:space="preserve"> or manager after the lesson(s)</w:t>
            </w:r>
          </w:p>
        </w:tc>
      </w:tr>
      <w:tr w:rsidR="69FA4040" w:rsidTr="69FA4040" w14:paraId="23AF1FAE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174EBB09" w:rsidP="69FA4040" w:rsidRDefault="174EBB09" w14:paraId="7F57F36F" w14:textId="0EC044EB">
            <w:pPr>
              <w:pStyle w:val="ListParagraph"/>
              <w:numPr>
                <w:ilvl w:val="0"/>
                <w:numId w:val="10"/>
              </w:numPr>
              <w:spacing w:after="0" w:afterAutospacing="off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9FA4040" w:rsidR="174EBB09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When designing lesson materials, e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nsure opportunities are created and realised for students to be able to continuously develop their English and maths skills</w:t>
            </w:r>
          </w:p>
        </w:tc>
      </w:tr>
      <w:tr w:rsidR="69FA4040" w:rsidTr="69FA4040" w14:paraId="03F9527C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5CCD0D3B" w14:textId="716B8D25">
            <w:pPr>
              <w:pStyle w:val="ListParagraph"/>
              <w:numPr>
                <w:ilvl w:val="0"/>
                <w:numId w:val="10"/>
              </w:numPr>
              <w:spacing w:after="0" w:afterAutospacing="off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Work to ensure 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levels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student attendance in all sessions and prompt completion of registers</w:t>
            </w:r>
          </w:p>
        </w:tc>
      </w:tr>
      <w:tr w:rsidR="69FA4040" w:rsidTr="69FA4040" w14:paraId="51ABFA94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6E5F3AD6" w14:textId="4A83E5BB">
            <w:pPr>
              <w:pStyle w:val="ListParagraph"/>
              <w:numPr>
                <w:ilvl w:val="0"/>
                <w:numId w:val="10"/>
              </w:numPr>
              <w:spacing w:after="0" w:afterAutospacing="off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Use and apply modern technology in TLA to enhance the learning experience and support progress for students, e.g. Microsoft Teams, specialist software/resources, working to the college VLE standards</w:t>
            </w:r>
          </w:p>
        </w:tc>
      </w:tr>
      <w:tr w:rsidR="69FA4040" w:rsidTr="69FA4040" w14:paraId="342089A3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4E3B0E02" w:rsidP="69FA4040" w:rsidRDefault="4E3B0E02" w14:paraId="0B17522D" w14:textId="48F917DF">
            <w:pPr>
              <w:pStyle w:val="ListParagraph"/>
              <w:numPr>
                <w:ilvl w:val="0"/>
                <w:numId w:val="10"/>
              </w:numPr>
              <w:bidi w:val="0"/>
              <w:spacing w:after="0" w:afterAutospacing="off" w:line="240" w:lineRule="auto"/>
              <w:jc w:val="left"/>
              <w:rPr>
                <w:rFonts w:ascii="Open Sans Light" w:hAnsi="Open Sans Light" w:eastAsia="Open Sans Light" w:cs="Open Sans Light"/>
                <w:sz w:val="22"/>
                <w:szCs w:val="22"/>
              </w:rPr>
            </w:pPr>
            <w:r w:rsidRPr="69FA4040" w:rsidR="4E3B0E02">
              <w:rPr>
                <w:rFonts w:ascii="Open Sans Light" w:hAnsi="Open Sans Light" w:eastAsia="Open Sans Light" w:cs="Open Sans Light"/>
                <w:sz w:val="22"/>
                <w:szCs w:val="22"/>
              </w:rPr>
              <w:t>Follow the Plumpton College behaviour management and referral systems</w:t>
            </w:r>
          </w:p>
        </w:tc>
      </w:tr>
    </w:tbl>
    <w:p w:rsidR="69FA4040" w:rsidP="69FA4040" w:rsidRDefault="69FA4040" w14:paraId="766151DE" w14:textId="68781633">
      <w:pPr>
        <w:pStyle w:val="Normal"/>
        <w:bidi w:val="0"/>
        <w:ind w:left="0"/>
        <w:rPr>
          <w:rFonts w:ascii="Open Sans Light" w:hAnsi="Open Sans Light" w:eastAsia="Open Sans Light" w:cs="Open Sans Light"/>
          <w:sz w:val="22"/>
          <w:szCs w:val="22"/>
        </w:rPr>
      </w:pPr>
    </w:p>
    <w:p w:rsidR="5D01766B" w:rsidP="69FA4040" w:rsidRDefault="5D01766B" w14:paraId="5BC52DD0" w14:textId="5858FFFB">
      <w:pPr>
        <w:pStyle w:val="ListParagraph"/>
        <w:numPr>
          <w:ilvl w:val="0"/>
          <w:numId w:val="12"/>
        </w:numPr>
        <w:bidi w:val="0"/>
        <w:rPr>
          <w:rFonts w:ascii="Open Sans Light" w:hAnsi="Open Sans Light" w:eastAsia="Open Sans Light" w:cs="Open Sans Light"/>
          <w:sz w:val="22"/>
          <w:szCs w:val="22"/>
        </w:rPr>
      </w:pPr>
      <w:r w:rsidRPr="69FA4040" w:rsidR="5D01766B">
        <w:rPr>
          <w:rFonts w:ascii="Open Sans Light" w:hAnsi="Open Sans Light" w:eastAsia="Open Sans Light" w:cs="Open Sans Light"/>
          <w:sz w:val="22"/>
          <w:szCs w:val="22"/>
        </w:rPr>
        <w:t xml:space="preserve">Continuous Professional Development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69FA4040" w:rsidTr="69FA4040" w14:paraId="6A8C93B5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13918D86" w14:textId="781BF3B0">
            <w:pPr>
              <w:pStyle w:val="ListParagraph"/>
              <w:numPr>
                <w:ilvl w:val="0"/>
                <w:numId w:val="13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Participate in staff development activities to support Continuous Professional Development (CPD) and keep a Professional Development Portfolio (PDP) to evidence personal development and impact on practice</w:t>
            </w:r>
          </w:p>
        </w:tc>
      </w:tr>
      <w:tr w:rsidR="69FA4040" w:rsidTr="69FA4040" w14:paraId="5A5FD9B7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1FA4B423" w14:textId="03D76355">
            <w:pPr>
              <w:pStyle w:val="ListParagraph"/>
              <w:numPr>
                <w:ilvl w:val="0"/>
                <w:numId w:val="13"/>
              </w:numPr>
              <w:bidi w:val="0"/>
              <w:spacing w:after="0" w:line="259" w:lineRule="auto"/>
              <w:ind w:left="709" w:hanging="425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Actively 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the College performance management processes, including appraisals to support personal and professional development and enhance student experience</w:t>
            </w:r>
          </w:p>
        </w:tc>
      </w:tr>
      <w:tr w:rsidR="69FA4040" w:rsidTr="69FA4040" w14:paraId="75FEBA8A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57B84E80" w14:textId="6CFADEAC">
            <w:pPr>
              <w:pStyle w:val="ListParagraph"/>
              <w:numPr>
                <w:ilvl w:val="0"/>
                <w:numId w:val="13"/>
              </w:numPr>
              <w:bidi w:val="0"/>
              <w:spacing w:after="0" w:line="259" w:lineRule="auto"/>
              <w:ind w:left="709" w:hanging="425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Complete all mandatory training as 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line with college expectations</w:t>
            </w:r>
          </w:p>
        </w:tc>
      </w:tr>
    </w:tbl>
    <w:p w:rsidR="69FA4040" w:rsidP="69FA4040" w:rsidRDefault="69FA4040" w14:paraId="73653751" w14:textId="770032B9">
      <w:pPr>
        <w:pStyle w:val="ListParagraph"/>
        <w:bidi w:val="0"/>
        <w:ind w:left="720"/>
        <w:rPr>
          <w:rFonts w:ascii="Open Sans Light" w:hAnsi="Open Sans Light" w:eastAsia="Open Sans Light" w:cs="Open Sans Light"/>
          <w:sz w:val="22"/>
          <w:szCs w:val="22"/>
        </w:rPr>
      </w:pPr>
    </w:p>
    <w:p w:rsidR="5D01766B" w:rsidP="69FA4040" w:rsidRDefault="5D01766B" w14:paraId="54F1C1B4" w14:textId="2DFF44E5">
      <w:pPr>
        <w:pStyle w:val="ListParagraph"/>
        <w:numPr>
          <w:ilvl w:val="0"/>
          <w:numId w:val="12"/>
        </w:numPr>
        <w:bidi w:val="0"/>
        <w:rPr>
          <w:rFonts w:ascii="Open Sans Light" w:hAnsi="Open Sans Light" w:eastAsia="Open Sans Light" w:cs="Open Sans Light"/>
          <w:sz w:val="22"/>
          <w:szCs w:val="22"/>
        </w:rPr>
      </w:pPr>
      <w:r w:rsidRPr="69FA4040" w:rsidR="5D01766B">
        <w:rPr>
          <w:rFonts w:ascii="Open Sans Light" w:hAnsi="Open Sans Light" w:eastAsia="Open Sans Light" w:cs="Open Sans Light"/>
          <w:sz w:val="22"/>
          <w:szCs w:val="22"/>
        </w:rPr>
        <w:t xml:space="preserve">Other responsibilities and duties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69FA4040" w:rsidTr="69FA4040" w14:paraId="4EADCEC8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775F7F5C" w14:textId="0623DD9F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Participate in staff and student recruitment campaigns, interviews, Open Days, and promotional/information events</w:t>
            </w:r>
          </w:p>
        </w:tc>
      </w:tr>
      <w:tr w:rsidR="69FA4040" w:rsidTr="69FA4040" w14:paraId="100F302A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0721B387" w14:textId="37E4F9A7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Work with employers and other stakeholders as 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develop and deliver high quality curriculum</w:t>
            </w:r>
          </w:p>
        </w:tc>
      </w:tr>
      <w:tr w:rsidR="69FA4040" w:rsidTr="69FA4040" w14:paraId="06A3C2B0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3A4FCC38" w14:textId="1BC4AE5E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Contribute to, and support delivery of the college strategic plan</w:t>
            </w:r>
          </w:p>
        </w:tc>
      </w:tr>
      <w:tr w:rsidR="69FA4040" w:rsidTr="69FA4040" w14:paraId="5D033397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5019AB7E" w14:textId="072A41AA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Comply with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departmental operating plan</w:t>
            </w:r>
            <w:r w:rsidRPr="69FA4040" w:rsidR="2ACC2E7E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contribute to action plans as needed</w:t>
            </w:r>
          </w:p>
        </w:tc>
      </w:tr>
      <w:tr w:rsidR="69FA4040" w:rsidTr="69FA4040" w14:paraId="3269BBD4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5CD5A251" w14:textId="6E576936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Ensure equality of opportunity and promote diversity in all aspects of college life with reference to Ofsted vulnerable student groups and protected characteristics</w:t>
            </w:r>
          </w:p>
        </w:tc>
      </w:tr>
      <w:tr w:rsidR="69FA4040" w:rsidTr="69FA4040" w14:paraId="38D61AB0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43046C83" w14:textId="5CD1B06C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Analyse and selectively implement the calendar of key equality and diversity events across the programme</w:t>
            </w:r>
          </w:p>
        </w:tc>
      </w:tr>
      <w:tr w:rsidR="69FA4040" w:rsidTr="69FA4040" w14:paraId="27848E5B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0EF4608D" w14:textId="27633A0E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Ensure all safeguarding policies and procedures are followed</w:t>
            </w:r>
          </w:p>
        </w:tc>
      </w:tr>
      <w:tr w:rsidR="69FA4040" w:rsidTr="69FA4040" w14:paraId="76D330D3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E11D1B9" w:rsidP="69FA4040" w:rsidRDefault="6E11D1B9" w14:paraId="4DCB0E40" w14:textId="6078538C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E11D1B9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 aware of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student destination data to inform self-assessment and quality improvement</w:t>
            </w:r>
          </w:p>
        </w:tc>
      </w:tr>
      <w:tr w:rsidR="69FA4040" w:rsidTr="69FA4040" w14:paraId="5A559E16">
        <w:trPr>
          <w:trHeight w:val="300"/>
        </w:trPr>
        <w:tc>
          <w:tcPr>
            <w:tcW w:w="9600" w:type="dxa"/>
            <w:tcMar>
              <w:left w:w="105" w:type="dxa"/>
              <w:right w:w="105" w:type="dxa"/>
            </w:tcMar>
            <w:vAlign w:val="center"/>
          </w:tcPr>
          <w:p w:rsidR="69FA4040" w:rsidP="69FA4040" w:rsidRDefault="69FA4040" w14:paraId="63813972" w14:textId="0AE3D882">
            <w:pPr>
              <w:pStyle w:val="ListParagraph"/>
              <w:numPr>
                <w:ilvl w:val="0"/>
                <w:numId w:val="11"/>
              </w:numPr>
              <w:bidi w:val="0"/>
              <w:spacing w:after="0" w:line="259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Any other duties connected with the post as are 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reasonably required</w:t>
            </w:r>
            <w:r w:rsidRPr="69FA4040" w:rsidR="69FA4040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from time to time</w:t>
            </w:r>
          </w:p>
        </w:tc>
      </w:tr>
    </w:tbl>
    <w:p w:rsidR="69FA4040" w:rsidP="69FA4040" w:rsidRDefault="69FA4040" w14:paraId="655D6899" w14:textId="2F3A177D">
      <w:pPr>
        <w:pStyle w:val="Normal"/>
        <w:bidi w:val="0"/>
        <w:rPr>
          <w:rFonts w:ascii="Open Sans Light" w:hAnsi="Open Sans Light" w:eastAsia="Open Sans Light" w:cs="Open Sans Light"/>
          <w:sz w:val="22"/>
          <w:szCs w:val="22"/>
        </w:rPr>
      </w:pPr>
    </w:p>
    <w:p w:rsidRPr="002417DD" w:rsidR="002417DD" w:rsidP="69FA4040" w:rsidRDefault="002417DD" w14:paraId="3FAAF06A" w14:textId="77777777">
      <w:pPr>
        <w:rPr>
          <w:rFonts w:ascii="Open Sans Light" w:hAnsi="Open Sans Light" w:eastAsia="Open Sans Light" w:cs="Open Sans Light"/>
          <w:b w:val="1"/>
          <w:bCs w:val="1"/>
          <w:sz w:val="22"/>
          <w:szCs w:val="22"/>
        </w:rPr>
      </w:pPr>
      <w:r w:rsidRPr="69FA4040" w:rsidR="002417DD">
        <w:rPr>
          <w:rFonts w:ascii="Open Sans Light" w:hAnsi="Open Sans Light" w:eastAsia="Open Sans Light" w:cs="Open Sans Light"/>
          <w:b w:val="1"/>
          <w:bCs w:val="1"/>
          <w:sz w:val="22"/>
          <w:szCs w:val="22"/>
        </w:rPr>
        <w:t>Qualifications &amp; Experience</w:t>
      </w:r>
    </w:p>
    <w:p w:rsidRPr="002417DD" w:rsidR="002417DD" w:rsidP="1C249DF1" w:rsidRDefault="002417DD" w14:paraId="1BD5F557" w14:textId="69CC324E">
      <w:p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>We would like to hear from you if you:</w:t>
      </w:r>
    </w:p>
    <w:p w:rsidR="003333D6" w:rsidP="1C249DF1" w:rsidRDefault="003333D6" w14:paraId="0F2BA228" w14:textId="60D5ED42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3B5064D5">
        <w:rPr>
          <w:rFonts w:ascii="Open Sans Light" w:hAnsi="Open Sans Light" w:eastAsia="Open Sans Light" w:cs="Open Sans Light"/>
          <w:sz w:val="22"/>
          <w:szCs w:val="22"/>
        </w:rPr>
        <w:t>Hold a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 xml:space="preserve"> PGCE or </w:t>
      </w:r>
      <w:r w:rsidRPr="1C249DF1" w:rsidR="2C1A3951">
        <w:rPr>
          <w:rFonts w:ascii="Open Sans Light" w:hAnsi="Open Sans Light" w:eastAsia="Open Sans Light" w:cs="Open Sans Light"/>
          <w:sz w:val="22"/>
          <w:szCs w:val="22"/>
        </w:rPr>
        <w:t>equivalent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 xml:space="preserve"> level </w:t>
      </w:r>
      <w:r w:rsidRPr="1C249DF1" w:rsidR="3E444EEF">
        <w:rPr>
          <w:rFonts w:ascii="Open Sans Light" w:hAnsi="Open Sans Light" w:eastAsia="Open Sans Light" w:cs="Open Sans Light"/>
          <w:sz w:val="22"/>
          <w:szCs w:val="22"/>
        </w:rPr>
        <w:t>4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>+</w:t>
      </w:r>
      <w:r w:rsidRPr="1C249DF1" w:rsidR="0AA49708">
        <w:rPr>
          <w:rFonts w:ascii="Open Sans Light" w:hAnsi="Open Sans Light" w:eastAsia="Open Sans Light" w:cs="Open Sans Light"/>
          <w:sz w:val="22"/>
          <w:szCs w:val="22"/>
        </w:rPr>
        <w:t xml:space="preserve"> 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 xml:space="preserve">teaching qualification </w:t>
      </w:r>
    </w:p>
    <w:p w:rsidR="00002A76" w:rsidP="1C249DF1" w:rsidRDefault="00002A76" w14:paraId="4583E637" w14:textId="40559282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329DC7C3">
        <w:rPr>
          <w:rFonts w:ascii="Open Sans Light" w:hAnsi="Open Sans Light" w:eastAsia="Open Sans Light" w:cs="Open Sans Light"/>
          <w:sz w:val="22"/>
          <w:szCs w:val="22"/>
        </w:rPr>
        <w:t xml:space="preserve">Are </w:t>
      </w:r>
      <w:r w:rsidRPr="1C249DF1" w:rsidR="39C8BE31">
        <w:rPr>
          <w:rFonts w:ascii="Open Sans Light" w:hAnsi="Open Sans Light" w:eastAsia="Open Sans Light" w:cs="Open Sans Light"/>
          <w:sz w:val="22"/>
          <w:szCs w:val="22"/>
        </w:rPr>
        <w:t>c</w:t>
      </w:r>
      <w:r w:rsidRPr="1C249DF1" w:rsidR="00002A76">
        <w:rPr>
          <w:rFonts w:ascii="Open Sans Light" w:hAnsi="Open Sans Light" w:eastAsia="Open Sans Light" w:cs="Open Sans Light"/>
          <w:sz w:val="22"/>
          <w:szCs w:val="22"/>
        </w:rPr>
        <w:t>onfident in using technology to enhance teaching and learning and c</w:t>
      </w:r>
      <w:r w:rsidRPr="1C249DF1" w:rsidR="45F97BF8">
        <w:rPr>
          <w:rFonts w:ascii="Open Sans Light" w:hAnsi="Open Sans Light" w:eastAsia="Open Sans Light" w:cs="Open Sans Light"/>
          <w:sz w:val="22"/>
          <w:szCs w:val="22"/>
        </w:rPr>
        <w:t>omfortable utilising</w:t>
      </w:r>
      <w:r w:rsidRPr="1C249DF1" w:rsidR="00002A76">
        <w:rPr>
          <w:rFonts w:ascii="Open Sans Light" w:hAnsi="Open Sans Light" w:eastAsia="Open Sans Light" w:cs="Open Sans Light"/>
          <w:sz w:val="22"/>
          <w:szCs w:val="22"/>
        </w:rPr>
        <w:t xml:space="preserve"> </w:t>
      </w:r>
      <w:r w:rsidRPr="1C249DF1" w:rsidR="45F97BF8">
        <w:rPr>
          <w:rFonts w:ascii="Open Sans Light" w:hAnsi="Open Sans Light" w:eastAsia="Open Sans Light" w:cs="Open Sans Light"/>
          <w:sz w:val="22"/>
          <w:szCs w:val="22"/>
        </w:rPr>
        <w:t xml:space="preserve">a range of </w:t>
      </w:r>
      <w:r w:rsidRPr="1C249DF1" w:rsidR="00002A76">
        <w:rPr>
          <w:rFonts w:ascii="Open Sans Light" w:hAnsi="Open Sans Light" w:eastAsia="Open Sans Light" w:cs="Open Sans Light"/>
          <w:sz w:val="22"/>
          <w:szCs w:val="22"/>
        </w:rPr>
        <w:t xml:space="preserve">different technological provisions in various curriculum areas </w:t>
      </w:r>
    </w:p>
    <w:p w:rsidRPr="002417DD" w:rsidR="00002A76" w:rsidP="1C249DF1" w:rsidRDefault="00002A76" w14:paraId="6201BF29" w14:textId="02F310AB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4DDE1C3D">
        <w:rPr>
          <w:rFonts w:ascii="Open Sans Light" w:hAnsi="Open Sans Light" w:eastAsia="Open Sans Light" w:cs="Open Sans Light"/>
          <w:sz w:val="22"/>
          <w:szCs w:val="22"/>
        </w:rPr>
        <w:t>Can</w:t>
      </w:r>
      <w:r w:rsidRPr="1C249DF1" w:rsidR="00002A76">
        <w:rPr>
          <w:rFonts w:ascii="Open Sans Light" w:hAnsi="Open Sans Light" w:eastAsia="Open Sans Light" w:cs="Open Sans Light"/>
          <w:sz w:val="22"/>
          <w:szCs w:val="22"/>
        </w:rPr>
        <w:t xml:space="preserve"> work independently and handle time-sensitive tasks in a strategic and </w:t>
      </w:r>
      <w:r w:rsidRPr="1C249DF1" w:rsidR="00002A76">
        <w:rPr>
          <w:rFonts w:ascii="Open Sans Light" w:hAnsi="Open Sans Light" w:eastAsia="Open Sans Light" w:cs="Open Sans Light"/>
          <w:sz w:val="22"/>
          <w:szCs w:val="22"/>
        </w:rPr>
        <w:t>appropriate manner</w:t>
      </w:r>
      <w:r w:rsidRPr="1C249DF1" w:rsidR="00002A76">
        <w:rPr>
          <w:rFonts w:ascii="Open Sans Light" w:hAnsi="Open Sans Light" w:eastAsia="Open Sans Light" w:cs="Open Sans Light"/>
          <w:sz w:val="22"/>
          <w:szCs w:val="22"/>
        </w:rPr>
        <w:t xml:space="preserve"> </w:t>
      </w:r>
    </w:p>
    <w:p w:rsidR="002417DD" w:rsidP="1C249DF1" w:rsidRDefault="002417DD" w14:paraId="64B176A1" w14:textId="3BACE831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7755712D">
        <w:rPr>
          <w:rFonts w:ascii="Open Sans Light" w:hAnsi="Open Sans Light" w:eastAsia="Open Sans Light" w:cs="Open Sans Light"/>
          <w:sz w:val="22"/>
          <w:szCs w:val="22"/>
        </w:rPr>
        <w:t>Possess k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 xml:space="preserve">nowledge of strategies to recognise and reward efforts and achievements 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 xml:space="preserve">for students in a Further/Higher education setting </w:t>
      </w:r>
    </w:p>
    <w:p w:rsidRPr="002417DD" w:rsidR="003333D6" w:rsidP="1C249DF1" w:rsidRDefault="003333D6" w14:paraId="02FF971C" w14:textId="2D21C35A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02167607">
        <w:rPr>
          <w:rFonts w:ascii="Open Sans Light" w:hAnsi="Open Sans Light" w:eastAsia="Open Sans Light" w:cs="Open Sans Light"/>
          <w:sz w:val="22"/>
          <w:szCs w:val="22"/>
        </w:rPr>
        <w:t>Have e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 xml:space="preserve">xperience of classroom management and supporting students </w:t>
      </w:r>
    </w:p>
    <w:p w:rsidRPr="002417DD" w:rsidR="002417DD" w:rsidP="1C249DF1" w:rsidRDefault="003333D6" w14:paraId="0720F9C0" w14:textId="2492D887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0280B47E">
        <w:rPr>
          <w:rFonts w:ascii="Open Sans Light" w:hAnsi="Open Sans Light" w:eastAsia="Open Sans Light" w:cs="Open Sans Light"/>
          <w:sz w:val="22"/>
          <w:szCs w:val="22"/>
        </w:rPr>
        <w:t>Have s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 xml:space="preserve">trong 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>knowledge of SEN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>D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 xml:space="preserve"> and other learning barriers</w:t>
      </w:r>
    </w:p>
    <w:p w:rsidRPr="002417DD" w:rsidR="003333D6" w:rsidP="1C249DF1" w:rsidRDefault="003333D6" w14:paraId="73FFDEA3" w14:textId="1A8380A2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3D651F2D">
        <w:rPr>
          <w:rFonts w:ascii="Open Sans Light" w:hAnsi="Open Sans Light" w:eastAsia="Open Sans Light" w:cs="Open Sans Light"/>
          <w:sz w:val="22"/>
          <w:szCs w:val="22"/>
        </w:rPr>
        <w:t xml:space="preserve">Are highly organised and have strong 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>time management skills</w:t>
      </w:r>
    </w:p>
    <w:p w:rsidRPr="002417DD" w:rsidR="002417DD" w:rsidP="1C249DF1" w:rsidRDefault="002417DD" w14:paraId="57ACE610" w14:textId="41FCF4E6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2B4060B2">
        <w:rPr>
          <w:rFonts w:ascii="Open Sans Light" w:hAnsi="Open Sans Light" w:eastAsia="Open Sans Light" w:cs="Open Sans Light"/>
          <w:sz w:val="22"/>
          <w:szCs w:val="22"/>
        </w:rPr>
        <w:t>Have r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 xml:space="preserve">elevant </w:t>
      </w:r>
      <w:r w:rsidRPr="1C249DF1" w:rsidR="57F7301D">
        <w:rPr>
          <w:rFonts w:ascii="Open Sans Light" w:hAnsi="Open Sans Light" w:eastAsia="Open Sans Light" w:cs="Open Sans Light"/>
          <w:sz w:val="22"/>
          <w:szCs w:val="22"/>
        </w:rPr>
        <w:t xml:space="preserve">and recent 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 xml:space="preserve">experience in successfully supervising groups of </w:t>
      </w:r>
      <w:r w:rsidRPr="1C249DF1" w:rsidR="3F491AF3">
        <w:rPr>
          <w:rFonts w:ascii="Open Sans Light" w:hAnsi="Open Sans Light" w:eastAsia="Open Sans Light" w:cs="Open Sans Light"/>
          <w:sz w:val="22"/>
          <w:szCs w:val="22"/>
        </w:rPr>
        <w:t>learners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 xml:space="preserve"> aged 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 xml:space="preserve">14-16 and 16+. </w:t>
      </w:r>
    </w:p>
    <w:p w:rsidRPr="002417DD" w:rsidR="002417DD" w:rsidP="1C249DF1" w:rsidRDefault="002417DD" w14:paraId="1F02CFAD" w14:textId="47284095">
      <w:pPr>
        <w:numPr>
          <w:ilvl w:val="0"/>
          <w:numId w:val="2"/>
        </w:numPr>
        <w:spacing w:after="0" w:afterAutospacing="off"/>
        <w:rPr>
          <w:rFonts w:ascii="Open Sans Light" w:hAnsi="Open Sans Light" w:eastAsia="Open Sans Light" w:cs="Open Sans Light"/>
          <w:sz w:val="22"/>
          <w:szCs w:val="22"/>
        </w:rPr>
      </w:pPr>
      <w:r w:rsidRPr="1C249DF1" w:rsidR="14D3E756">
        <w:rPr>
          <w:rFonts w:ascii="Open Sans Light" w:hAnsi="Open Sans Light" w:eastAsia="Open Sans Light" w:cs="Open Sans Light"/>
          <w:sz w:val="22"/>
          <w:szCs w:val="22"/>
        </w:rPr>
        <w:t xml:space="preserve">Have worked </w:t>
      </w:r>
      <w:r w:rsidRPr="1C249DF1" w:rsidR="14D3E756">
        <w:rPr>
          <w:rFonts w:ascii="Open Sans Light" w:hAnsi="Open Sans Light" w:eastAsia="Open Sans Light" w:cs="Open Sans Light"/>
          <w:sz w:val="22"/>
          <w:szCs w:val="22"/>
        </w:rPr>
        <w:t>in, or</w:t>
      </w:r>
      <w:r w:rsidRPr="1C249DF1" w:rsidR="14D3E756">
        <w:rPr>
          <w:rFonts w:ascii="Open Sans Light" w:hAnsi="Open Sans Light" w:eastAsia="Open Sans Light" w:cs="Open Sans Light"/>
          <w:sz w:val="22"/>
          <w:szCs w:val="22"/>
        </w:rPr>
        <w:t xml:space="preserve"> </w:t>
      </w:r>
      <w:r w:rsidRPr="1C249DF1" w:rsidR="14D3E756">
        <w:rPr>
          <w:rFonts w:ascii="Open Sans Light" w:hAnsi="Open Sans Light" w:eastAsia="Open Sans Light" w:cs="Open Sans Light"/>
          <w:sz w:val="22"/>
          <w:szCs w:val="22"/>
        </w:rPr>
        <w:t>have u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>nderstanding of</w:t>
      </w:r>
      <w:r w:rsidRPr="1C249DF1" w:rsidR="6B08072D">
        <w:rPr>
          <w:rFonts w:ascii="Open Sans Light" w:hAnsi="Open Sans Light" w:eastAsia="Open Sans Light" w:cs="Open Sans Light"/>
          <w:sz w:val="22"/>
          <w:szCs w:val="22"/>
        </w:rPr>
        <w:t>,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 xml:space="preserve"> </w:t>
      </w:r>
      <w:r w:rsidRPr="1C249DF1" w:rsidR="003333D6">
        <w:rPr>
          <w:rFonts w:ascii="Open Sans Light" w:hAnsi="Open Sans Light" w:eastAsia="Open Sans Light" w:cs="Open Sans Light"/>
          <w:sz w:val="22"/>
          <w:szCs w:val="22"/>
        </w:rPr>
        <w:t xml:space="preserve">a further education </w:t>
      </w:r>
      <w:r w:rsidRPr="1C249DF1" w:rsidR="002417DD">
        <w:rPr>
          <w:rFonts w:ascii="Open Sans Light" w:hAnsi="Open Sans Light" w:eastAsia="Open Sans Light" w:cs="Open Sans Light"/>
          <w:sz w:val="22"/>
          <w:szCs w:val="22"/>
        </w:rPr>
        <w:t>environment.</w:t>
      </w:r>
    </w:p>
    <w:p w:rsidR="005E0961" w:rsidP="69FA4040" w:rsidRDefault="005E0961" w14:paraId="439AD928" w14:textId="77777777">
      <w:pPr>
        <w:rPr>
          <w:rFonts w:ascii="Open Sans Light" w:hAnsi="Open Sans Light" w:eastAsia="Open Sans Light" w:cs="Open Sans Light"/>
          <w:sz w:val="22"/>
          <w:szCs w:val="22"/>
        </w:rPr>
      </w:pPr>
    </w:p>
    <w:p w:rsidR="4A344DE5" w:rsidP="69FA4040" w:rsidRDefault="4A344DE5" w14:paraId="0935BF09" w14:textId="76C70049">
      <w:pPr>
        <w:tabs>
          <w:tab w:val="left" w:leader="none" w:pos="720"/>
        </w:tabs>
        <w:spacing w:after="0" w:line="240" w:lineRule="auto"/>
        <w:ind w:left="1440" w:hanging="1440"/>
        <w:jc w:val="both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Working Hours</w:t>
      </w:r>
    </w:p>
    <w:p w:rsidR="4A344DE5" w:rsidP="1C249DF1" w:rsidRDefault="4A344DE5" w14:paraId="0A990626" w14:textId="016423AB">
      <w:pPr>
        <w:spacing w:after="0" w:line="240" w:lineRule="auto"/>
        <w:contextualSpacing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Basic working hours are from 0</w:t>
      </w:r>
      <w:r w:rsidRPr="1C249DF1" w:rsidR="06BCA178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.30 to 1</w:t>
      </w:r>
      <w:r w:rsidRPr="1C249DF1" w:rsidR="730A17CD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.00 Monday to 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but flexibility will 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meet the needs of the business. This </w:t>
      </w:r>
      <w:r w:rsidRPr="1C249DF1" w:rsidR="6708AC01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post can be contracted for term-time only or 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all-year-round</w:t>
      </w:r>
      <w:r w:rsidRPr="1C249DF1" w:rsidR="10330C4C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depending on the preference of the 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post</w:t>
      </w:r>
      <w:r w:rsidRPr="1C249DF1" w:rsidR="5C64F687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-holder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There will be some weekend working 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1C249DF1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support departmental activities, and whole college recruitment and promotional events.</w:t>
      </w:r>
    </w:p>
    <w:p w:rsidR="69FA4040" w:rsidP="7D366B56" w:rsidRDefault="69FA4040" w14:paraId="7C2D1018" w14:textId="235FA180">
      <w:pPr>
        <w:pStyle w:val="Normal"/>
        <w:spacing w:after="0" w:line="240" w:lineRule="auto"/>
        <w:contextualSpacing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A344DE5" w:rsidP="69FA4040" w:rsidRDefault="4A344DE5" w14:paraId="34C2A23D" w14:textId="3183FA8E">
      <w:pPr>
        <w:tabs>
          <w:tab w:val="left" w:leader="none" w:pos="720"/>
        </w:tabs>
        <w:spacing w:after="0" w:line="240" w:lineRule="auto"/>
        <w:ind w:left="1440" w:hanging="1440"/>
        <w:jc w:val="both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Continuous Professional Development (CPD)</w:t>
      </w:r>
    </w:p>
    <w:p w:rsidR="4A344DE5" w:rsidP="69FA4040" w:rsidRDefault="4A344DE5" w14:paraId="746F3A8D" w14:textId="48072221">
      <w:pPr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post will be entitled to CPD for skills updating, personal and professional development. All CPD must be planned, agreed, and booked with your Line Manager. </w:t>
      </w:r>
    </w:p>
    <w:p w:rsidR="69FA4040" w:rsidP="69FA4040" w:rsidRDefault="69FA4040" w14:paraId="09C01EB0" w14:textId="1FCD6DDB">
      <w:pPr>
        <w:spacing w:after="0" w:line="240" w:lineRule="auto"/>
        <w:jc w:val="both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w:rsidR="4A344DE5" w:rsidP="69FA4040" w:rsidRDefault="4A344DE5" w14:paraId="5801F85E" w14:textId="5774E5E1">
      <w:pPr>
        <w:tabs>
          <w:tab w:val="left" w:leader="none" w:pos="720"/>
        </w:tabs>
        <w:spacing w:after="0" w:line="240" w:lineRule="auto"/>
        <w:ind w:left="1440" w:hanging="1440"/>
        <w:jc w:val="both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Benefits</w:t>
      </w:r>
    </w:p>
    <w:p w:rsidR="4A344DE5" w:rsidP="69FA4040" w:rsidRDefault="4A344DE5" w14:paraId="7DF14F0F" w14:textId="59170E41">
      <w:pPr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candidate appointed to the post will automatically become a member of the Teacher Pension Scheme and pay contributions as 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determined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annual salary levels. The pension scheme includes life assurance cover, and the College will also pay a contribution towards your pension. There 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also free car parking and a competitively priced dining room service.</w:t>
      </w:r>
    </w:p>
    <w:p w:rsidR="69FA4040" w:rsidP="69FA4040" w:rsidRDefault="69FA4040" w14:paraId="25497ECE" w14:textId="7C1556A3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w:rsidR="4A344DE5" w:rsidP="69FA4040" w:rsidRDefault="4A344DE5" w14:paraId="74A188B8" w14:textId="57B69537">
      <w:pPr>
        <w:tabs>
          <w:tab w:val="left" w:leader="none" w:pos="720"/>
        </w:tabs>
        <w:spacing w:after="0" w:line="240" w:lineRule="auto"/>
        <w:ind w:left="1440" w:hanging="1440"/>
        <w:jc w:val="both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Criminal Record Check via the Disclosure Procedure</w:t>
      </w:r>
    </w:p>
    <w:p w:rsidR="4A344DE5" w:rsidP="69FA4040" w:rsidRDefault="4A344DE5" w14:paraId="29CD0691" w14:textId="48F84730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Rehabilitation of Offenders Act 1974 gives individuals the right not to 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disclose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details of certain old offences when asked about their criminal record as they may be defined as ‘spent’. There are exemptions to this if the individual is offered a post which involves contact with children or regular work at an establishment exclusively or mainly for children.</w:t>
      </w:r>
    </w:p>
    <w:p w:rsidR="69FA4040" w:rsidP="69FA4040" w:rsidRDefault="69FA4040" w14:paraId="57526F16" w14:textId="13F052CF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A344DE5" w:rsidP="69FA4040" w:rsidRDefault="4A344DE5" w14:paraId="1358B6B4" w14:textId="313979EF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post you have applied for falls into this category and, therefore, requires a criminal background check.</w:t>
      </w:r>
    </w:p>
    <w:p w:rsidR="69FA4040" w:rsidP="69FA4040" w:rsidRDefault="69FA4040" w14:paraId="2E893923" w14:textId="4643DB4C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A344DE5" w:rsidP="69FA4040" w:rsidRDefault="4A344DE5" w14:paraId="79C732C0" w14:textId="0BF405E3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a job offer is made, you will be asked to apply for a DBS Disclosure Certificate. The Disclosure Certificate will 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contain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details of current and “spent” convictions, cautions, reprimands, or warnings held on the Police National Computer, excluding certain specified old and minor offences.</w:t>
      </w:r>
    </w:p>
    <w:p w:rsidR="69FA4040" w:rsidP="69FA4040" w:rsidRDefault="69FA4040" w14:paraId="73B41C03" w14:textId="2C1EA83C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A344DE5" w:rsidP="69FA4040" w:rsidRDefault="4A344DE5" w14:paraId="0F391CE3" w14:textId="607B218C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DBS Disclosure will also 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indicate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whether information is held on government faculty lists of those individuals who are barred from working with children or vulnerable adults (if applicable).</w:t>
      </w:r>
    </w:p>
    <w:p w:rsidR="69FA4040" w:rsidP="69FA4040" w:rsidRDefault="69FA4040" w14:paraId="2712D093" w14:textId="334BD06D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A344DE5" w:rsidP="69FA4040" w:rsidRDefault="4A344DE5" w14:paraId="5908D8D0" w14:textId="0049E698">
      <w:pPr>
        <w:tabs>
          <w:tab w:val="left" w:leader="none" w:pos="720"/>
        </w:tabs>
        <w:spacing w:after="0" w:line="240" w:lineRule="auto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post-holder cannot begin employment with the College until the DBS Disclosure Certificate is received and considered by the 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Principal</w:t>
      </w:r>
      <w:r w:rsidRPr="69FA4040" w:rsidR="4A344DE5"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69FA4040" w:rsidP="69FA4040" w:rsidRDefault="69FA4040" w14:paraId="1C90B9B3" w14:textId="4327F55C">
      <w:pPr>
        <w:spacing w:after="0" w:line="240" w:lineRule="auto"/>
        <w:ind w:left="360"/>
        <w:contextualSpacing/>
        <w:jc w:val="both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9FA4040" w:rsidP="69FA4040" w:rsidRDefault="69FA4040" w14:paraId="6D399D21" w14:textId="0E942FFD">
      <w:pPr>
        <w:spacing w:after="0" w:line="240" w:lineRule="auto"/>
        <w:ind w:left="360"/>
        <w:contextualSpacing/>
        <w:jc w:val="both"/>
        <w:rPr>
          <w:rFonts w:ascii="Open Sans Light" w:hAnsi="Open Sans Light" w:eastAsia="Open Sans Light" w:cs="Open Sans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9FA4040" w:rsidP="69FA4040" w:rsidRDefault="69FA4040" w14:paraId="7DD40547" w14:textId="692D1555">
      <w:pPr>
        <w:rPr>
          <w:rFonts w:ascii="Open Sans Light" w:hAnsi="Open Sans Light" w:eastAsia="Open Sans Light" w:cs="Open Sans Light"/>
          <w:sz w:val="22"/>
          <w:szCs w:val="22"/>
        </w:rPr>
      </w:pPr>
    </w:p>
    <w:sectPr w:rsidR="005E0961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676ae5a9cc04ce3"/>
      <w:footerReference w:type="default" r:id="R5c7155bfcb734a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0C4E45" w:rsidTr="370C4E45" w14:paraId="2375F6E4">
      <w:trPr>
        <w:trHeight w:val="300"/>
      </w:trPr>
      <w:tc>
        <w:tcPr>
          <w:tcW w:w="3005" w:type="dxa"/>
          <w:tcMar/>
        </w:tcPr>
        <w:p w:rsidR="370C4E45" w:rsidP="370C4E45" w:rsidRDefault="370C4E45" w14:paraId="4C42A62E" w14:textId="7B68FF2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70C4E45" w:rsidP="370C4E45" w:rsidRDefault="370C4E45" w14:paraId="41CABB89" w14:textId="5825D0D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70C4E45" w:rsidP="370C4E45" w:rsidRDefault="370C4E45" w14:paraId="3C149335" w14:textId="00A28586">
          <w:pPr>
            <w:pStyle w:val="Header"/>
            <w:bidi w:val="0"/>
            <w:ind w:right="-115"/>
            <w:jc w:val="right"/>
          </w:pPr>
        </w:p>
      </w:tc>
    </w:tr>
  </w:tbl>
  <w:p w:rsidR="370C4E45" w:rsidP="370C4E45" w:rsidRDefault="370C4E45" w14:paraId="0B670EFF" w14:textId="61C02D3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0C4E45" w:rsidTr="69FA4040" w14:paraId="5CB20922">
      <w:trPr>
        <w:trHeight w:val="300"/>
      </w:trPr>
      <w:tc>
        <w:tcPr>
          <w:tcW w:w="3005" w:type="dxa"/>
          <w:tcMar/>
        </w:tcPr>
        <w:p w:rsidR="370C4E45" w:rsidP="370C4E45" w:rsidRDefault="370C4E45" w14:paraId="25FA0978" w14:textId="5A3E144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70C4E45" w:rsidP="370C4E45" w:rsidRDefault="370C4E45" w14:paraId="2AABDCAB" w14:textId="27E00CC0">
          <w:pPr>
            <w:bidi w:val="0"/>
            <w:jc w:val="center"/>
          </w:pPr>
          <w:r w:rsidR="69FA4040">
            <w:drawing>
              <wp:inline wp14:editId="794608F8" wp14:anchorId="07046CC3">
                <wp:extent cx="921258" cy="742950"/>
                <wp:effectExtent l="0" t="0" r="0" b="0"/>
                <wp:docPr id="1276136094" name="drawing" descr="A blue logo with a shield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76136094" name=""/>
                        <pic:cNvPicPr/>
                      </pic:nvPicPr>
                      <pic:blipFill>
                        <a:blip xmlns:r="http://schemas.openxmlformats.org/officeDocument/2006/relationships" r:embed="rId1519197330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21258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70C4E45" w:rsidP="370C4E45" w:rsidRDefault="370C4E45" w14:paraId="33EED837" w14:textId="3F5ADB1A">
          <w:pPr>
            <w:pStyle w:val="Header"/>
            <w:bidi w:val="0"/>
            <w:ind w:right="-115"/>
            <w:jc w:val="right"/>
          </w:pPr>
        </w:p>
      </w:tc>
    </w:tr>
  </w:tbl>
  <w:p w:rsidR="370C4E45" w:rsidP="370C4E45" w:rsidRDefault="370C4E45" w14:paraId="00153309" w14:textId="297B1F2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56f260e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Open Sans Light" w:hAnsi="Open Sans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2451e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a392e6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49ec41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acca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5545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971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78aa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dd4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d41f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f930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Open Sans Light" w:hAnsi="Open Sans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2D97C59"/>
    <w:multiLevelType w:val="multilevel"/>
    <w:tmpl w:val="89CE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C5652C8"/>
    <w:multiLevelType w:val="multilevel"/>
    <w:tmpl w:val="151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666634838">
    <w:abstractNumId w:val="1"/>
  </w:num>
  <w:num w:numId="2" w16cid:durableId="10452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DD"/>
    <w:rsid w:val="00002A76"/>
    <w:rsid w:val="002417DD"/>
    <w:rsid w:val="003333D6"/>
    <w:rsid w:val="005E0961"/>
    <w:rsid w:val="007140BB"/>
    <w:rsid w:val="00A58B0D"/>
    <w:rsid w:val="00A63FD8"/>
    <w:rsid w:val="00B730B9"/>
    <w:rsid w:val="00C1EB34"/>
    <w:rsid w:val="010F9170"/>
    <w:rsid w:val="0184DE9F"/>
    <w:rsid w:val="02167607"/>
    <w:rsid w:val="0280B47E"/>
    <w:rsid w:val="0346FD50"/>
    <w:rsid w:val="05C63D74"/>
    <w:rsid w:val="05E28A93"/>
    <w:rsid w:val="0663A3F3"/>
    <w:rsid w:val="06BCA178"/>
    <w:rsid w:val="082839E2"/>
    <w:rsid w:val="08A854EF"/>
    <w:rsid w:val="09D19DFA"/>
    <w:rsid w:val="0AA49708"/>
    <w:rsid w:val="0AAFE1FE"/>
    <w:rsid w:val="0AC77585"/>
    <w:rsid w:val="0B207B4E"/>
    <w:rsid w:val="0BCBAE61"/>
    <w:rsid w:val="0D4F914C"/>
    <w:rsid w:val="0E68FB34"/>
    <w:rsid w:val="0E68FB34"/>
    <w:rsid w:val="0F37520B"/>
    <w:rsid w:val="10330C4C"/>
    <w:rsid w:val="10CEE808"/>
    <w:rsid w:val="10D36448"/>
    <w:rsid w:val="11BD8578"/>
    <w:rsid w:val="12046E2E"/>
    <w:rsid w:val="12ABD285"/>
    <w:rsid w:val="1432BE8E"/>
    <w:rsid w:val="14D3E756"/>
    <w:rsid w:val="1548D57A"/>
    <w:rsid w:val="1658C3AC"/>
    <w:rsid w:val="174EBB09"/>
    <w:rsid w:val="192768C1"/>
    <w:rsid w:val="197E71FF"/>
    <w:rsid w:val="197E71FF"/>
    <w:rsid w:val="1AF20BEC"/>
    <w:rsid w:val="1C249DF1"/>
    <w:rsid w:val="1C49EE12"/>
    <w:rsid w:val="1CA1CD0B"/>
    <w:rsid w:val="1EE942E4"/>
    <w:rsid w:val="207B3974"/>
    <w:rsid w:val="23D49036"/>
    <w:rsid w:val="24958FC1"/>
    <w:rsid w:val="250DB8F8"/>
    <w:rsid w:val="2518209E"/>
    <w:rsid w:val="256B7D43"/>
    <w:rsid w:val="2571A72C"/>
    <w:rsid w:val="26D67B90"/>
    <w:rsid w:val="26D81654"/>
    <w:rsid w:val="274C78AE"/>
    <w:rsid w:val="2A071C9A"/>
    <w:rsid w:val="2ACC2E7E"/>
    <w:rsid w:val="2B37F303"/>
    <w:rsid w:val="2B37F303"/>
    <w:rsid w:val="2B4060B2"/>
    <w:rsid w:val="2B576BB5"/>
    <w:rsid w:val="2B6B69AE"/>
    <w:rsid w:val="2BFED74F"/>
    <w:rsid w:val="2C1A3951"/>
    <w:rsid w:val="2FA91FE4"/>
    <w:rsid w:val="2FD6E6DE"/>
    <w:rsid w:val="30D3EE55"/>
    <w:rsid w:val="329DC7C3"/>
    <w:rsid w:val="34CEFF58"/>
    <w:rsid w:val="34DF8F2C"/>
    <w:rsid w:val="370C4E45"/>
    <w:rsid w:val="37AB078F"/>
    <w:rsid w:val="39C8BE31"/>
    <w:rsid w:val="3A1E45D0"/>
    <w:rsid w:val="3A63A801"/>
    <w:rsid w:val="3A74A543"/>
    <w:rsid w:val="3B5064D5"/>
    <w:rsid w:val="3BF1C5CA"/>
    <w:rsid w:val="3C07BF12"/>
    <w:rsid w:val="3D498EA7"/>
    <w:rsid w:val="3D651F2D"/>
    <w:rsid w:val="3E444EEF"/>
    <w:rsid w:val="3F491AF3"/>
    <w:rsid w:val="3F67EF6F"/>
    <w:rsid w:val="43A4BB05"/>
    <w:rsid w:val="452FD833"/>
    <w:rsid w:val="4545DDD6"/>
    <w:rsid w:val="45F97BF8"/>
    <w:rsid w:val="45FF04D6"/>
    <w:rsid w:val="4693F14A"/>
    <w:rsid w:val="47525A84"/>
    <w:rsid w:val="47C821D7"/>
    <w:rsid w:val="48965BA7"/>
    <w:rsid w:val="4969F07E"/>
    <w:rsid w:val="4A344DE5"/>
    <w:rsid w:val="4AC6060C"/>
    <w:rsid w:val="4C60A5C7"/>
    <w:rsid w:val="4C60A5C7"/>
    <w:rsid w:val="4DC04488"/>
    <w:rsid w:val="4DDE1C3D"/>
    <w:rsid w:val="4DE72520"/>
    <w:rsid w:val="4E3B0E02"/>
    <w:rsid w:val="4F2B847F"/>
    <w:rsid w:val="538782D9"/>
    <w:rsid w:val="53D89B72"/>
    <w:rsid w:val="55C58AF0"/>
    <w:rsid w:val="5712901D"/>
    <w:rsid w:val="57F7301D"/>
    <w:rsid w:val="59A97458"/>
    <w:rsid w:val="5A572629"/>
    <w:rsid w:val="5C64F687"/>
    <w:rsid w:val="5D01766B"/>
    <w:rsid w:val="5DDBB715"/>
    <w:rsid w:val="60C2DFA2"/>
    <w:rsid w:val="6199257B"/>
    <w:rsid w:val="61B05A89"/>
    <w:rsid w:val="62D0D10F"/>
    <w:rsid w:val="62D38CEA"/>
    <w:rsid w:val="64020D92"/>
    <w:rsid w:val="64A18179"/>
    <w:rsid w:val="6708AC01"/>
    <w:rsid w:val="67D342BA"/>
    <w:rsid w:val="6836E310"/>
    <w:rsid w:val="68A8B21C"/>
    <w:rsid w:val="6967BC3B"/>
    <w:rsid w:val="69FA4040"/>
    <w:rsid w:val="6B08072D"/>
    <w:rsid w:val="6CBA8A09"/>
    <w:rsid w:val="6CC84F4F"/>
    <w:rsid w:val="6D6E67B4"/>
    <w:rsid w:val="6E11D1B9"/>
    <w:rsid w:val="6E6E1D13"/>
    <w:rsid w:val="6F466EBE"/>
    <w:rsid w:val="6F6C2D96"/>
    <w:rsid w:val="704C8BB5"/>
    <w:rsid w:val="7196D990"/>
    <w:rsid w:val="71977896"/>
    <w:rsid w:val="71AFC093"/>
    <w:rsid w:val="730A17CD"/>
    <w:rsid w:val="73CF2DB0"/>
    <w:rsid w:val="74C6DD9C"/>
    <w:rsid w:val="75399C87"/>
    <w:rsid w:val="7745C9D8"/>
    <w:rsid w:val="7755712D"/>
    <w:rsid w:val="79537F8B"/>
    <w:rsid w:val="79F2F625"/>
    <w:rsid w:val="7A073141"/>
    <w:rsid w:val="7A854182"/>
    <w:rsid w:val="7AC4C60F"/>
    <w:rsid w:val="7B652B0A"/>
    <w:rsid w:val="7BFFD593"/>
    <w:rsid w:val="7C0F474E"/>
    <w:rsid w:val="7C31CFCE"/>
    <w:rsid w:val="7D366B56"/>
    <w:rsid w:val="7DF7B174"/>
    <w:rsid w:val="7F560619"/>
    <w:rsid w:val="7FC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125D"/>
  <w15:chartTrackingRefBased/>
  <w15:docId w15:val="{36880ACC-D22A-4228-A13A-7BDAD66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7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7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17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417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417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17D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417D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17D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17D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17D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1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7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417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4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7D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41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7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41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7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17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370C4E4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70C4E4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3676ae5a9cc04ce3" /><Relationship Type="http://schemas.openxmlformats.org/officeDocument/2006/relationships/footer" Target="footer.xml" Id="R5c7155bfcb734a8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5191973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A5AAD2F89914B9C9F292ADD046E3A" ma:contentTypeVersion="17" ma:contentTypeDescription="Create a new document." ma:contentTypeScope="" ma:versionID="437e377db8483e51ed54de16f6545ab8">
  <xsd:schema xmlns:xsd="http://www.w3.org/2001/XMLSchema" xmlns:xs="http://www.w3.org/2001/XMLSchema" xmlns:p="http://schemas.microsoft.com/office/2006/metadata/properties" xmlns:ns2="7e78af23-eeee-4947-93b3-4e2bb3c4cddf" xmlns:ns3="360a39b6-fc27-4038-b1bb-cb85cb57372b" targetNamespace="http://schemas.microsoft.com/office/2006/metadata/properties" ma:root="true" ma:fieldsID="eea4efdce05b40591290a5614f8167b2" ns2:_="" ns3:_="">
    <xsd:import namespace="7e78af23-eeee-4947-93b3-4e2bb3c4cddf"/>
    <xsd:import namespace="360a39b6-fc27-4038-b1bb-cb85cb573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8af23-eeee-4947-93b3-4e2bb3c4c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874595-55bc-4f94-8afa-0e4d447e7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9b6-fc27-4038-b1bb-cb85cb573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76f0b0-d66d-4077-8595-91ff42edc898}" ma:internalName="TaxCatchAll" ma:showField="CatchAllData" ma:web="360a39b6-fc27-4038-b1bb-cb85cb573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8af23-eeee-4947-93b3-4e2bb3c4cddf">
      <Terms xmlns="http://schemas.microsoft.com/office/infopath/2007/PartnerControls"/>
    </lcf76f155ced4ddcb4097134ff3c332f>
    <TaxCatchAll xmlns="360a39b6-fc27-4038-b1bb-cb85cb57372b" xsi:nil="true"/>
  </documentManagement>
</p:properties>
</file>

<file path=customXml/itemProps1.xml><?xml version="1.0" encoding="utf-8"?>
<ds:datastoreItem xmlns:ds="http://schemas.openxmlformats.org/officeDocument/2006/customXml" ds:itemID="{60F46D52-999A-4752-92DB-7D6518A99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8af23-eeee-4947-93b3-4e2bb3c4cddf"/>
    <ds:schemaRef ds:uri="360a39b6-fc27-4038-b1bb-cb85cb573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BB0FF-E445-44BD-86CB-BE216A2FF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2F4F7-873A-49A4-8622-CF83C0AF186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360a39b6-fc27-4038-b1bb-cb85cb57372b"/>
    <ds:schemaRef ds:uri="http://schemas.openxmlformats.org/package/2006/metadata/core-properties"/>
    <ds:schemaRef ds:uri="7e78af23-eeee-4947-93b3-4e2bb3c4cddf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Plumpton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 Stallard</dc:creator>
  <keywords/>
  <dc:description/>
  <lastModifiedBy>Pam Stallard</lastModifiedBy>
  <revision>11</revision>
  <dcterms:created xsi:type="dcterms:W3CDTF">2025-08-08T14:09:00.0000000Z</dcterms:created>
  <dcterms:modified xsi:type="dcterms:W3CDTF">2025-09-25T10:48:31.8919608Z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0x0101009B2A5AAD2F89914B9C9F292ADD046E3A</vt:lpwstr>
  </property>
  <property fmtid="{D5CDD505-2E9C-101B-9397-08002B2CF9AE}" pid="3" name="MediaServiceImageTags">
    <vt:lpwstr/>
  </property>
</Properties>
</file>