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0D09" w14:textId="77777777" w:rsidR="00EA1D67" w:rsidRPr="0053499D" w:rsidRDefault="00602676" w:rsidP="00C83620">
      <w:pPr>
        <w:spacing w:after="0" w:line="240" w:lineRule="auto"/>
        <w:jc w:val="center"/>
        <w:rPr>
          <w:rFonts w:ascii="Open Sans Light" w:hAnsi="Open Sans Light" w:cs="Open Sans Light"/>
        </w:rPr>
      </w:pPr>
      <w:r w:rsidRPr="0053499D">
        <w:rPr>
          <w:rFonts w:ascii="Open Sans Light" w:hAnsi="Open Sans Light" w:cs="Open Sans Light"/>
          <w:noProof/>
          <w:lang w:eastAsia="en-GB"/>
        </w:rPr>
        <w:drawing>
          <wp:inline distT="0" distB="0" distL="0" distR="0" wp14:anchorId="1A874FD7" wp14:editId="540EA194">
            <wp:extent cx="1695450" cy="11949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0">
                      <a:extLst>
                        <a:ext uri="{28A0092B-C50C-407E-A947-70E740481C1C}">
                          <a14:useLocalDpi xmlns:a14="http://schemas.microsoft.com/office/drawing/2010/main" val="0"/>
                        </a:ext>
                      </a:extLst>
                    </a:blip>
                    <a:stretch>
                      <a:fillRect/>
                    </a:stretch>
                  </pic:blipFill>
                  <pic:spPr>
                    <a:xfrm>
                      <a:off x="0" y="0"/>
                      <a:ext cx="1710289" cy="1205391"/>
                    </a:xfrm>
                    <a:prstGeom prst="rect">
                      <a:avLst/>
                    </a:prstGeom>
                  </pic:spPr>
                </pic:pic>
              </a:graphicData>
            </a:graphic>
          </wp:inline>
        </w:drawing>
      </w:r>
    </w:p>
    <w:p w14:paraId="6D11073B" w14:textId="77777777" w:rsidR="00ED0047" w:rsidRPr="0053499D" w:rsidRDefault="00ED0047" w:rsidP="00B26C4A">
      <w:pPr>
        <w:spacing w:after="0" w:line="240" w:lineRule="auto"/>
        <w:rPr>
          <w:rFonts w:ascii="Open Sans Light" w:eastAsia="Calibri" w:hAnsi="Open Sans Light" w:cs="Open Sans Light"/>
          <w:b/>
        </w:rPr>
      </w:pPr>
    </w:p>
    <w:tbl>
      <w:tblPr>
        <w:tblStyle w:val="TableGrid"/>
        <w:tblW w:w="9639" w:type="dxa"/>
        <w:tblInd w:w="-5" w:type="dxa"/>
        <w:tblLook w:val="04A0" w:firstRow="1" w:lastRow="0" w:firstColumn="1" w:lastColumn="0" w:noHBand="0" w:noVBand="1"/>
      </w:tblPr>
      <w:tblGrid>
        <w:gridCol w:w="9639"/>
      </w:tblGrid>
      <w:tr w:rsidR="00D03817" w:rsidRPr="0021034B" w14:paraId="1AE7373A" w14:textId="77777777" w:rsidTr="00CA624D">
        <w:trPr>
          <w:trHeight w:val="595"/>
        </w:trPr>
        <w:tc>
          <w:tcPr>
            <w:tcW w:w="9639" w:type="dxa"/>
            <w:vAlign w:val="center"/>
          </w:tcPr>
          <w:p w14:paraId="414F511A" w14:textId="77777777" w:rsidR="00B03681" w:rsidRPr="0021034B" w:rsidRDefault="002E42B0" w:rsidP="006270F2">
            <w:pPr>
              <w:jc w:val="center"/>
              <w:rPr>
                <w:rFonts w:ascii="Open Sans Light" w:eastAsia="Calibri" w:hAnsi="Open Sans Light" w:cs="Open Sans Light"/>
                <w:b/>
                <w:sz w:val="20"/>
                <w:szCs w:val="20"/>
              </w:rPr>
            </w:pPr>
            <w:r w:rsidRPr="0021034B">
              <w:rPr>
                <w:rFonts w:ascii="Open Sans Light" w:eastAsia="Calibri" w:hAnsi="Open Sans Light" w:cs="Open Sans Light"/>
                <w:b/>
                <w:sz w:val="20"/>
                <w:szCs w:val="20"/>
              </w:rPr>
              <w:t xml:space="preserve">Higher Education </w:t>
            </w:r>
            <w:r w:rsidR="008B207E" w:rsidRPr="0021034B">
              <w:rPr>
                <w:rFonts w:ascii="Open Sans Light" w:eastAsia="Calibri" w:hAnsi="Open Sans Light" w:cs="Open Sans Light"/>
                <w:b/>
                <w:sz w:val="20"/>
                <w:szCs w:val="20"/>
              </w:rPr>
              <w:t>Manager</w:t>
            </w:r>
          </w:p>
        </w:tc>
      </w:tr>
    </w:tbl>
    <w:p w14:paraId="333E6B50" w14:textId="77777777" w:rsidR="00DA178F" w:rsidRPr="0021034B" w:rsidRDefault="00DA178F" w:rsidP="00B26C4A">
      <w:pPr>
        <w:spacing w:after="0" w:line="240" w:lineRule="auto"/>
        <w:rPr>
          <w:rFonts w:ascii="Open Sans Light" w:eastAsia="Calibri" w:hAnsi="Open Sans Light" w:cs="Open Sans Light"/>
          <w:b/>
          <w:sz w:val="20"/>
          <w:szCs w:val="20"/>
        </w:rPr>
      </w:pPr>
    </w:p>
    <w:tbl>
      <w:tblPr>
        <w:tblW w:w="9634" w:type="dxa"/>
        <w:tblLook w:val="04A0" w:firstRow="1" w:lastRow="0" w:firstColumn="1" w:lastColumn="0" w:noHBand="0" w:noVBand="1"/>
      </w:tblPr>
      <w:tblGrid>
        <w:gridCol w:w="3256"/>
        <w:gridCol w:w="6378"/>
      </w:tblGrid>
      <w:tr w:rsidR="00D03817" w:rsidRPr="0021034B" w14:paraId="673BA951"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A79B39" w14:textId="77777777" w:rsidR="00B03681" w:rsidRPr="0021034B" w:rsidRDefault="00244871" w:rsidP="00B26C4A">
            <w:pPr>
              <w:spacing w:after="0" w:line="240" w:lineRule="auto"/>
              <w:rPr>
                <w:rFonts w:ascii="Open Sans Light" w:eastAsia="Calibri" w:hAnsi="Open Sans Light" w:cs="Open Sans Light"/>
                <w:b/>
                <w:sz w:val="20"/>
                <w:szCs w:val="20"/>
              </w:rPr>
            </w:pPr>
            <w:r w:rsidRPr="0021034B">
              <w:rPr>
                <w:rFonts w:ascii="Open Sans Light" w:eastAsia="Calibri" w:hAnsi="Open Sans Light" w:cs="Open Sans Light"/>
                <w:b/>
                <w:sz w:val="20"/>
                <w:szCs w:val="20"/>
              </w:rPr>
              <w:t>Reporting T</w:t>
            </w:r>
            <w:r w:rsidR="00B03681" w:rsidRPr="0021034B">
              <w:rPr>
                <w:rFonts w:ascii="Open Sans Light" w:eastAsia="Calibri" w:hAnsi="Open Sans Light" w:cs="Open Sans Light"/>
                <w:b/>
                <w:sz w:val="20"/>
                <w:szCs w:val="20"/>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FADEA1" w14:textId="77777777" w:rsidR="00553B01" w:rsidRPr="0021034B" w:rsidRDefault="0062153D" w:rsidP="00F40568">
            <w:pPr>
              <w:spacing w:after="0" w:line="240" w:lineRule="auto"/>
              <w:rPr>
                <w:rFonts w:ascii="Open Sans Light" w:eastAsia="Calibri" w:hAnsi="Open Sans Light" w:cs="Open Sans Light"/>
                <w:sz w:val="20"/>
                <w:szCs w:val="20"/>
              </w:rPr>
            </w:pPr>
            <w:r w:rsidRPr="0021034B">
              <w:rPr>
                <w:rFonts w:ascii="Open Sans Light" w:eastAsia="Calibri" w:hAnsi="Open Sans Light" w:cs="Open Sans Light"/>
                <w:sz w:val="20"/>
                <w:szCs w:val="20"/>
              </w:rPr>
              <w:t>Director of Quality</w:t>
            </w:r>
          </w:p>
        </w:tc>
      </w:tr>
      <w:tr w:rsidR="00D03817" w:rsidRPr="0021034B" w14:paraId="109A95A7"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6DB78AA" w14:textId="77777777" w:rsidR="00B03681" w:rsidRPr="0021034B" w:rsidRDefault="00B03681" w:rsidP="00B26C4A">
            <w:pPr>
              <w:spacing w:after="0" w:line="240" w:lineRule="auto"/>
              <w:rPr>
                <w:rFonts w:ascii="Open Sans Light" w:eastAsia="Calibri" w:hAnsi="Open Sans Light" w:cs="Open Sans Light"/>
                <w:b/>
                <w:sz w:val="20"/>
                <w:szCs w:val="20"/>
              </w:rPr>
            </w:pPr>
            <w:r w:rsidRPr="0021034B">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B115B5" w14:textId="77777777" w:rsidR="00B03681" w:rsidRPr="0021034B" w:rsidRDefault="008B207E" w:rsidP="00A873F5">
            <w:pPr>
              <w:spacing w:after="0" w:line="240" w:lineRule="auto"/>
              <w:rPr>
                <w:rFonts w:ascii="Open Sans Light" w:eastAsia="Calibri" w:hAnsi="Open Sans Light" w:cs="Open Sans Light"/>
                <w:sz w:val="20"/>
                <w:szCs w:val="20"/>
              </w:rPr>
            </w:pPr>
            <w:r w:rsidRPr="0021034B">
              <w:rPr>
                <w:rFonts w:ascii="Open Sans Light" w:eastAsia="Calibri" w:hAnsi="Open Sans Light" w:cs="Open Sans Light"/>
                <w:sz w:val="20"/>
                <w:szCs w:val="20"/>
              </w:rPr>
              <w:t>Full Time</w:t>
            </w:r>
            <w:r w:rsidR="003B60D8" w:rsidRPr="0021034B">
              <w:rPr>
                <w:rFonts w:ascii="Open Sans Light" w:eastAsia="Calibri" w:hAnsi="Open Sans Light" w:cs="Open Sans Light"/>
                <w:sz w:val="20"/>
                <w:szCs w:val="20"/>
              </w:rPr>
              <w:t xml:space="preserve"> </w:t>
            </w:r>
            <w:r w:rsidR="00DF0002" w:rsidRPr="0021034B">
              <w:rPr>
                <w:rFonts w:ascii="Open Sans Light" w:eastAsia="Calibri" w:hAnsi="Open Sans Light" w:cs="Open Sans Light"/>
                <w:sz w:val="20"/>
                <w:szCs w:val="20"/>
              </w:rPr>
              <w:t xml:space="preserve">– </w:t>
            </w:r>
            <w:r w:rsidR="00DC57D6" w:rsidRPr="0021034B">
              <w:rPr>
                <w:rFonts w:ascii="Open Sans Light" w:eastAsia="Calibri" w:hAnsi="Open Sans Light" w:cs="Open Sans Light"/>
                <w:sz w:val="20"/>
                <w:szCs w:val="20"/>
              </w:rPr>
              <w:t>(</w:t>
            </w:r>
            <w:r w:rsidR="00DF0002" w:rsidRPr="0021034B">
              <w:rPr>
                <w:rFonts w:ascii="Open Sans Light" w:eastAsia="Calibri" w:hAnsi="Open Sans Light" w:cs="Open Sans Light"/>
                <w:sz w:val="20"/>
                <w:szCs w:val="20"/>
              </w:rPr>
              <w:t>37.5 hrs</w:t>
            </w:r>
            <w:r w:rsidR="00DC57D6" w:rsidRPr="0021034B">
              <w:rPr>
                <w:rFonts w:ascii="Open Sans Light" w:eastAsia="Calibri" w:hAnsi="Open Sans Light" w:cs="Open Sans Light"/>
                <w:sz w:val="20"/>
                <w:szCs w:val="20"/>
              </w:rPr>
              <w:t xml:space="preserve"> per week)</w:t>
            </w:r>
          </w:p>
        </w:tc>
      </w:tr>
      <w:tr w:rsidR="00D03817" w:rsidRPr="0021034B" w14:paraId="23945330"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56BD36E" w14:textId="77777777" w:rsidR="00B03681" w:rsidRPr="0021034B" w:rsidRDefault="00B03681" w:rsidP="00B26C4A">
            <w:pPr>
              <w:spacing w:after="0" w:line="240" w:lineRule="auto"/>
              <w:rPr>
                <w:rFonts w:ascii="Open Sans Light" w:eastAsia="Calibri" w:hAnsi="Open Sans Light" w:cs="Open Sans Light"/>
                <w:b/>
                <w:sz w:val="20"/>
                <w:szCs w:val="20"/>
              </w:rPr>
            </w:pPr>
            <w:r w:rsidRPr="0021034B">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49AD96F" w14:textId="77777777" w:rsidR="00B03681" w:rsidRPr="0021034B" w:rsidRDefault="0062153D" w:rsidP="00A873F5">
            <w:pPr>
              <w:spacing w:after="0" w:line="240" w:lineRule="auto"/>
              <w:rPr>
                <w:rFonts w:ascii="Open Sans Light" w:eastAsia="Calibri" w:hAnsi="Open Sans Light" w:cs="Open Sans Light"/>
                <w:sz w:val="20"/>
                <w:szCs w:val="20"/>
              </w:rPr>
            </w:pPr>
            <w:r w:rsidRPr="0021034B">
              <w:rPr>
                <w:rFonts w:ascii="Open Sans Light" w:eastAsia="Calibri" w:hAnsi="Open Sans Light" w:cs="Open Sans Light"/>
                <w:sz w:val="20"/>
                <w:szCs w:val="20"/>
              </w:rPr>
              <w:t>SCP 36 – 40 (£36,735 - £41,388)</w:t>
            </w:r>
          </w:p>
        </w:tc>
      </w:tr>
      <w:tr w:rsidR="0062153D" w:rsidRPr="0021034B" w14:paraId="1E2616E6" w14:textId="77777777" w:rsidTr="00682798">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cPr>
          <w:p w14:paraId="0C482671" w14:textId="77777777" w:rsidR="0062153D" w:rsidRPr="0021034B" w:rsidRDefault="0062153D" w:rsidP="0062153D">
            <w:pPr>
              <w:spacing w:after="0" w:line="240" w:lineRule="auto"/>
              <w:rPr>
                <w:rFonts w:ascii="Open Sans Light" w:eastAsia="Calibri" w:hAnsi="Open Sans Light" w:cs="Open Sans Light"/>
                <w:b/>
                <w:sz w:val="20"/>
                <w:szCs w:val="20"/>
              </w:rPr>
            </w:pPr>
            <w:r w:rsidRPr="0021034B">
              <w:rPr>
                <w:rFonts w:ascii="Open Sans Light" w:hAnsi="Open Sans Light" w:cs="Open Sans Light"/>
                <w:sz w:val="20"/>
                <w:szCs w:val="20"/>
              </w:rPr>
              <w:t xml:space="preserve">Job Code: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6F773E6" w14:textId="77777777" w:rsidR="0062153D" w:rsidRPr="0021034B" w:rsidRDefault="0062153D" w:rsidP="0062153D">
            <w:pPr>
              <w:spacing w:after="0" w:line="240" w:lineRule="auto"/>
              <w:rPr>
                <w:rFonts w:ascii="Open Sans Light" w:eastAsia="Calibri" w:hAnsi="Open Sans Light" w:cs="Open Sans Light"/>
                <w:sz w:val="20"/>
                <w:szCs w:val="20"/>
              </w:rPr>
            </w:pPr>
            <w:r w:rsidRPr="0021034B">
              <w:rPr>
                <w:rFonts w:ascii="Open Sans Light" w:hAnsi="Open Sans Light" w:cs="Open Sans Light"/>
                <w:sz w:val="20"/>
                <w:szCs w:val="20"/>
              </w:rPr>
              <w:t>PC M2</w:t>
            </w:r>
          </w:p>
        </w:tc>
      </w:tr>
      <w:tr w:rsidR="00D03817" w:rsidRPr="0021034B" w14:paraId="45435984"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492EF3" w14:textId="77777777" w:rsidR="00B03681" w:rsidRPr="0021034B" w:rsidRDefault="00B03681" w:rsidP="00B26C4A">
            <w:pPr>
              <w:spacing w:after="0" w:line="240" w:lineRule="auto"/>
              <w:rPr>
                <w:rFonts w:ascii="Open Sans Light" w:eastAsia="Calibri" w:hAnsi="Open Sans Light" w:cs="Open Sans Light"/>
                <w:b/>
                <w:sz w:val="20"/>
                <w:szCs w:val="20"/>
              </w:rPr>
            </w:pPr>
            <w:r w:rsidRPr="0021034B">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09AFF5D" w14:textId="77777777" w:rsidR="00B03681" w:rsidRPr="0021034B" w:rsidRDefault="00892987" w:rsidP="00553B01">
            <w:pPr>
              <w:spacing w:after="0" w:line="240" w:lineRule="auto"/>
              <w:rPr>
                <w:rFonts w:ascii="Open Sans Light" w:eastAsia="Calibri" w:hAnsi="Open Sans Light" w:cs="Open Sans Light"/>
                <w:sz w:val="20"/>
                <w:szCs w:val="20"/>
              </w:rPr>
            </w:pPr>
            <w:r w:rsidRPr="0021034B">
              <w:rPr>
                <w:rFonts w:ascii="Open Sans Light" w:eastAsia="Calibri" w:hAnsi="Open Sans Light" w:cs="Open Sans Light"/>
                <w:sz w:val="20"/>
                <w:szCs w:val="20"/>
              </w:rPr>
              <w:t>26</w:t>
            </w:r>
            <w:r w:rsidR="003B677B" w:rsidRPr="0021034B">
              <w:rPr>
                <w:rFonts w:ascii="Open Sans Light" w:eastAsia="Calibri" w:hAnsi="Open Sans Light" w:cs="Open Sans Light"/>
                <w:sz w:val="20"/>
                <w:szCs w:val="20"/>
              </w:rPr>
              <w:t xml:space="preserve"> </w:t>
            </w:r>
            <w:r w:rsidR="00553B01" w:rsidRPr="0021034B">
              <w:rPr>
                <w:rFonts w:ascii="Open Sans Light" w:eastAsia="Calibri" w:hAnsi="Open Sans Light" w:cs="Open Sans Light"/>
                <w:sz w:val="20"/>
                <w:szCs w:val="20"/>
              </w:rPr>
              <w:t>electable days</w:t>
            </w:r>
            <w:r w:rsidR="00B03681" w:rsidRPr="0021034B">
              <w:rPr>
                <w:rFonts w:ascii="Open Sans Light" w:eastAsia="Calibri" w:hAnsi="Open Sans Light" w:cs="Open Sans Light"/>
                <w:sz w:val="20"/>
                <w:szCs w:val="20"/>
              </w:rPr>
              <w:t>, 8 statutory days and up to 5 efficiency closure days at Christmas</w:t>
            </w:r>
            <w:r w:rsidR="00D95D82" w:rsidRPr="0021034B">
              <w:rPr>
                <w:rFonts w:ascii="Open Sans Light" w:eastAsia="Calibri" w:hAnsi="Open Sans Light" w:cs="Open Sans Light"/>
                <w:sz w:val="20"/>
                <w:szCs w:val="20"/>
              </w:rPr>
              <w:t xml:space="preserve"> </w:t>
            </w:r>
          </w:p>
        </w:tc>
      </w:tr>
    </w:tbl>
    <w:p w14:paraId="43CE08C6" w14:textId="77777777" w:rsidR="00B26C4A" w:rsidRPr="0021034B" w:rsidRDefault="00B26C4A" w:rsidP="00B26C4A">
      <w:pPr>
        <w:spacing w:after="0" w:line="240" w:lineRule="auto"/>
        <w:rPr>
          <w:rFonts w:ascii="Open Sans Light" w:eastAsia="Calibri" w:hAnsi="Open Sans Light" w:cs="Open Sans Light"/>
          <w:b/>
          <w:sz w:val="20"/>
          <w:szCs w:val="20"/>
          <w:u w:val="single"/>
        </w:rPr>
      </w:pPr>
    </w:p>
    <w:p w14:paraId="52337C61" w14:textId="77777777" w:rsidR="00B26C4A" w:rsidRPr="0021034B" w:rsidRDefault="00B26C4A" w:rsidP="00B26C4A">
      <w:pPr>
        <w:spacing w:after="0" w:line="240" w:lineRule="auto"/>
        <w:rPr>
          <w:rFonts w:ascii="Open Sans Light" w:eastAsia="Calibri" w:hAnsi="Open Sans Light" w:cs="Open Sans Light"/>
          <w:b/>
          <w:sz w:val="20"/>
          <w:szCs w:val="20"/>
        </w:rPr>
      </w:pPr>
      <w:r w:rsidRPr="0021034B">
        <w:rPr>
          <w:rFonts w:ascii="Open Sans Light" w:eastAsia="Calibri" w:hAnsi="Open Sans Light" w:cs="Open Sans Light"/>
          <w:b/>
          <w:sz w:val="20"/>
          <w:szCs w:val="20"/>
        </w:rPr>
        <w:t>Job Purpose</w:t>
      </w:r>
    </w:p>
    <w:p w14:paraId="1C377706" w14:textId="77777777" w:rsidR="003B60D8" w:rsidRPr="0021034B" w:rsidRDefault="003B60D8" w:rsidP="00C83620">
      <w:pPr>
        <w:autoSpaceDE w:val="0"/>
        <w:autoSpaceDN w:val="0"/>
        <w:adjustRightInd w:val="0"/>
        <w:spacing w:after="0" w:line="240" w:lineRule="auto"/>
        <w:jc w:val="both"/>
        <w:rPr>
          <w:rFonts w:ascii="Open Sans Light" w:hAnsi="Open Sans Light" w:cs="Open Sans Light"/>
          <w:sz w:val="20"/>
          <w:szCs w:val="20"/>
        </w:rPr>
      </w:pPr>
    </w:p>
    <w:p w14:paraId="16DDD63B" w14:textId="77777777" w:rsidR="00C83620" w:rsidRPr="0021034B" w:rsidRDefault="00092859" w:rsidP="00C570E0">
      <w:pPr>
        <w:autoSpaceDE w:val="0"/>
        <w:autoSpaceDN w:val="0"/>
        <w:adjustRightInd w:val="0"/>
        <w:spacing w:after="0" w:line="240" w:lineRule="auto"/>
        <w:jc w:val="both"/>
        <w:rPr>
          <w:rFonts w:ascii="Open Sans Light" w:hAnsi="Open Sans Light" w:cs="Open Sans Light"/>
          <w:sz w:val="20"/>
          <w:szCs w:val="20"/>
        </w:rPr>
      </w:pPr>
      <w:r w:rsidRPr="0021034B">
        <w:rPr>
          <w:rFonts w:ascii="Open Sans Light" w:hAnsi="Open Sans Light" w:cs="Open Sans Light"/>
          <w:sz w:val="20"/>
          <w:szCs w:val="20"/>
        </w:rPr>
        <w:t>The Higher Education</w:t>
      </w:r>
      <w:r w:rsidR="001A7F8B" w:rsidRPr="0021034B">
        <w:rPr>
          <w:rFonts w:ascii="Open Sans Light" w:hAnsi="Open Sans Light" w:cs="Open Sans Light"/>
          <w:sz w:val="20"/>
          <w:szCs w:val="20"/>
        </w:rPr>
        <w:t xml:space="preserve"> </w:t>
      </w:r>
      <w:r w:rsidR="008B207E" w:rsidRPr="0021034B">
        <w:rPr>
          <w:rFonts w:ascii="Open Sans Light" w:hAnsi="Open Sans Light" w:cs="Open Sans Light"/>
          <w:sz w:val="20"/>
          <w:szCs w:val="20"/>
        </w:rPr>
        <w:t>Manager’s</w:t>
      </w:r>
      <w:r w:rsidRPr="0021034B">
        <w:rPr>
          <w:rFonts w:ascii="Open Sans Light" w:hAnsi="Open Sans Light" w:cs="Open Sans Light"/>
          <w:sz w:val="20"/>
          <w:szCs w:val="20"/>
        </w:rPr>
        <w:t xml:space="preserve"> role is to ensure </w:t>
      </w:r>
      <w:r w:rsidR="008B207E" w:rsidRPr="0021034B">
        <w:rPr>
          <w:rFonts w:ascii="Open Sans Light" w:hAnsi="Open Sans Light" w:cs="Open Sans Light"/>
          <w:sz w:val="20"/>
          <w:szCs w:val="20"/>
        </w:rPr>
        <w:t>t</w:t>
      </w:r>
      <w:r w:rsidR="007D32DB" w:rsidRPr="0021034B">
        <w:rPr>
          <w:rFonts w:ascii="Open Sans Light" w:hAnsi="Open Sans Light" w:cs="Open Sans Light"/>
          <w:sz w:val="20"/>
          <w:szCs w:val="20"/>
        </w:rPr>
        <w:t xml:space="preserve">he efficient running of the day to day operations of the HE Central Support functions across the College. The role is be instrumental in ensuring all aspects of the college-wide HE strategy are implemented and achieved, and responsible for delivering a high-quality student experience. The HE Manager will work closely with the Curriculum Managers and Quality team to ensure excellent achievement outcomes which give students the competitive edge when applying for roles in their respective sector. </w:t>
      </w:r>
    </w:p>
    <w:p w14:paraId="57705FFC" w14:textId="77777777" w:rsidR="0037761D" w:rsidRPr="0021034B" w:rsidRDefault="0037761D" w:rsidP="00C570E0">
      <w:pPr>
        <w:autoSpaceDE w:val="0"/>
        <w:autoSpaceDN w:val="0"/>
        <w:adjustRightInd w:val="0"/>
        <w:spacing w:after="0" w:line="240" w:lineRule="auto"/>
        <w:jc w:val="both"/>
        <w:rPr>
          <w:rFonts w:ascii="Open Sans Light" w:hAnsi="Open Sans Light" w:cs="Open Sans Light"/>
          <w:sz w:val="20"/>
          <w:szCs w:val="20"/>
        </w:rPr>
      </w:pPr>
    </w:p>
    <w:p w14:paraId="0D1F3C7D" w14:textId="77777777" w:rsidR="00137858" w:rsidRPr="0021034B" w:rsidRDefault="00B26D97" w:rsidP="00137858">
      <w:pPr>
        <w:spacing w:after="0" w:line="240" w:lineRule="auto"/>
        <w:rPr>
          <w:rFonts w:ascii="Open Sans Light" w:eastAsia="Calibri" w:hAnsi="Open Sans Light" w:cs="Open Sans Light"/>
          <w:b/>
          <w:sz w:val="20"/>
          <w:szCs w:val="20"/>
        </w:rPr>
      </w:pPr>
      <w:r w:rsidRPr="0021034B">
        <w:rPr>
          <w:rFonts w:ascii="Open Sans Light" w:eastAsia="Calibri" w:hAnsi="Open Sans Light" w:cs="Open Sans Light"/>
          <w:b/>
          <w:sz w:val="20"/>
          <w:szCs w:val="20"/>
        </w:rPr>
        <w:t>Duties and Responsibilities of the J</w:t>
      </w:r>
      <w:r w:rsidR="00137858" w:rsidRPr="0021034B">
        <w:rPr>
          <w:rFonts w:ascii="Open Sans Light" w:eastAsia="Calibri" w:hAnsi="Open Sans Light" w:cs="Open Sans Light"/>
          <w:b/>
          <w:sz w:val="20"/>
          <w:szCs w:val="20"/>
        </w:rPr>
        <w:t>ob</w:t>
      </w:r>
    </w:p>
    <w:p w14:paraId="02603725" w14:textId="77777777" w:rsidR="00A9131B" w:rsidRPr="0021034B" w:rsidRDefault="00A9131B" w:rsidP="00137858">
      <w:pPr>
        <w:spacing w:after="0" w:line="240" w:lineRule="auto"/>
        <w:rPr>
          <w:rFonts w:ascii="Open Sans Light" w:eastAsia="Calibri" w:hAnsi="Open Sans Light" w:cs="Open Sans Light"/>
          <w:b/>
          <w:sz w:val="20"/>
          <w:szCs w:val="20"/>
        </w:rPr>
      </w:pPr>
    </w:p>
    <w:p w14:paraId="40302E9A" w14:textId="77777777" w:rsidR="00A9131B" w:rsidRPr="0021034B" w:rsidRDefault="007D32DB" w:rsidP="00A9131B">
      <w:pPr>
        <w:pStyle w:val="ListParagraph"/>
        <w:numPr>
          <w:ilvl w:val="0"/>
          <w:numId w:val="28"/>
        </w:numPr>
        <w:rPr>
          <w:rFonts w:ascii="Open Sans Light" w:eastAsia="Calibri" w:hAnsi="Open Sans Light" w:cs="Open Sans Light"/>
          <w:b/>
          <w:sz w:val="20"/>
        </w:rPr>
      </w:pPr>
      <w:r w:rsidRPr="0021034B">
        <w:rPr>
          <w:rFonts w:ascii="Open Sans Light" w:eastAsia="Calibri" w:hAnsi="Open Sans Light" w:cs="Open Sans Light"/>
          <w:b/>
          <w:sz w:val="20"/>
        </w:rPr>
        <w:t>Strategy</w:t>
      </w:r>
      <w:r w:rsidR="001421E1" w:rsidRPr="0021034B">
        <w:rPr>
          <w:rFonts w:ascii="Open Sans Light" w:eastAsia="Calibri" w:hAnsi="Open Sans Light" w:cs="Open Sans Light"/>
          <w:b/>
          <w:sz w:val="20"/>
        </w:rPr>
        <w:t xml:space="preserve"> focus</w:t>
      </w:r>
      <w:r w:rsidR="00EF0DD0" w:rsidRPr="0021034B">
        <w:rPr>
          <w:rFonts w:ascii="Open Sans Light" w:eastAsia="Calibri" w:hAnsi="Open Sans Light" w:cs="Open Sans Light"/>
          <w:b/>
          <w:sz w:val="20"/>
        </w:rPr>
        <w:t>:</w:t>
      </w:r>
    </w:p>
    <w:p w14:paraId="1378B194" w14:textId="77777777" w:rsidR="00123E57" w:rsidRPr="0021034B" w:rsidRDefault="00123E57" w:rsidP="00137858">
      <w:pPr>
        <w:spacing w:after="0" w:line="240" w:lineRule="auto"/>
        <w:rPr>
          <w:rFonts w:ascii="Open Sans Light" w:eastAsia="Calibri" w:hAnsi="Open Sans Light" w:cs="Open Sans Light"/>
          <w:b/>
          <w:sz w:val="20"/>
          <w:szCs w:val="20"/>
        </w:rPr>
      </w:pPr>
    </w:p>
    <w:tbl>
      <w:tblPr>
        <w:tblStyle w:val="TableGrid"/>
        <w:tblW w:w="9889" w:type="dxa"/>
        <w:tblInd w:w="-113" w:type="dxa"/>
        <w:tblLook w:val="04A0" w:firstRow="1" w:lastRow="0" w:firstColumn="1" w:lastColumn="0" w:noHBand="0" w:noVBand="1"/>
      </w:tblPr>
      <w:tblGrid>
        <w:gridCol w:w="9889"/>
      </w:tblGrid>
      <w:tr w:rsidR="00BE58F3" w:rsidRPr="0021034B" w14:paraId="167E1EDF" w14:textId="77777777" w:rsidTr="00BE58F3">
        <w:tc>
          <w:tcPr>
            <w:tcW w:w="9889" w:type="dxa"/>
          </w:tcPr>
          <w:p w14:paraId="184126E7" w14:textId="77777777" w:rsidR="00BE58F3" w:rsidRPr="0021034B" w:rsidRDefault="00BE58F3" w:rsidP="00BE58F3">
            <w:pPr>
              <w:pStyle w:val="ListParagraph"/>
              <w:numPr>
                <w:ilvl w:val="0"/>
                <w:numId w:val="32"/>
              </w:numPr>
              <w:jc w:val="both"/>
              <w:rPr>
                <w:rFonts w:ascii="Open Sans Light" w:hAnsi="Open Sans Light" w:cs="Open Sans Light"/>
                <w:sz w:val="20"/>
              </w:rPr>
            </w:pPr>
            <w:r w:rsidRPr="0021034B">
              <w:rPr>
                <w:rFonts w:ascii="Open Sans Light" w:hAnsi="Open Sans Light" w:cs="Open Sans Light"/>
                <w:sz w:val="20"/>
              </w:rPr>
              <w:t>Inspire and set the vision for HE as part of the college vision and strategic objectives</w:t>
            </w:r>
          </w:p>
        </w:tc>
      </w:tr>
      <w:tr w:rsidR="00BE58F3" w:rsidRPr="0021034B" w14:paraId="7D76DEF0" w14:textId="77777777" w:rsidTr="00BE58F3">
        <w:tc>
          <w:tcPr>
            <w:tcW w:w="9889" w:type="dxa"/>
          </w:tcPr>
          <w:p w14:paraId="7F731844" w14:textId="77777777" w:rsidR="00BE58F3" w:rsidRPr="0021034B" w:rsidRDefault="00BE58F3" w:rsidP="00BE58F3">
            <w:pPr>
              <w:pStyle w:val="ListParagraph"/>
              <w:numPr>
                <w:ilvl w:val="0"/>
                <w:numId w:val="32"/>
              </w:numPr>
              <w:rPr>
                <w:rFonts w:ascii="Open Sans Light" w:hAnsi="Open Sans Light" w:cs="Open Sans Light"/>
                <w:sz w:val="20"/>
              </w:rPr>
            </w:pPr>
            <w:r w:rsidRPr="0021034B">
              <w:rPr>
                <w:rFonts w:ascii="Open Sans Light" w:hAnsi="Open Sans Light" w:cs="Open Sans Light"/>
                <w:sz w:val="20"/>
              </w:rPr>
              <w:t>Establish clear purpose and direction for HE through working with Curriculum and Programme Managers to develop a three-year curriculum plan</w:t>
            </w:r>
          </w:p>
        </w:tc>
      </w:tr>
      <w:tr w:rsidR="00BE58F3" w:rsidRPr="0021034B" w14:paraId="24AD6F64" w14:textId="77777777" w:rsidTr="00BE58F3">
        <w:tc>
          <w:tcPr>
            <w:tcW w:w="9889" w:type="dxa"/>
          </w:tcPr>
          <w:p w14:paraId="54538F4D" w14:textId="77777777" w:rsidR="00BE58F3" w:rsidRPr="0021034B" w:rsidRDefault="00BE58F3" w:rsidP="00BE58F3">
            <w:pPr>
              <w:pStyle w:val="ListParagraph"/>
              <w:numPr>
                <w:ilvl w:val="0"/>
                <w:numId w:val="32"/>
              </w:numPr>
              <w:rPr>
                <w:rFonts w:ascii="Open Sans Light" w:hAnsi="Open Sans Light" w:cs="Open Sans Light"/>
                <w:sz w:val="20"/>
              </w:rPr>
            </w:pPr>
            <w:r w:rsidRPr="0021034B">
              <w:rPr>
                <w:rFonts w:ascii="Open Sans Light" w:hAnsi="Open Sans Light" w:cs="Open Sans Light"/>
                <w:sz w:val="20"/>
              </w:rPr>
              <w:t xml:space="preserve">Working with the Director of Quality, inform, develop and implement college wide HE strategy, and with particular reference to </w:t>
            </w:r>
            <w:proofErr w:type="spellStart"/>
            <w:r w:rsidRPr="0021034B">
              <w:rPr>
                <w:rFonts w:ascii="Open Sans Light" w:hAnsi="Open Sans Light" w:cs="Open Sans Light"/>
                <w:sz w:val="20"/>
              </w:rPr>
              <w:t>OfS</w:t>
            </w:r>
            <w:proofErr w:type="spellEnd"/>
            <w:r w:rsidRPr="0021034B">
              <w:rPr>
                <w:rFonts w:ascii="Open Sans Light" w:hAnsi="Open Sans Light" w:cs="Open Sans Light"/>
                <w:sz w:val="20"/>
              </w:rPr>
              <w:t xml:space="preserve"> registration and Access and Widening Participation.</w:t>
            </w:r>
          </w:p>
        </w:tc>
      </w:tr>
      <w:tr w:rsidR="00BE58F3" w:rsidRPr="0021034B" w14:paraId="3A6CF253" w14:textId="77777777" w:rsidTr="00BE58F3">
        <w:tc>
          <w:tcPr>
            <w:tcW w:w="9889" w:type="dxa"/>
          </w:tcPr>
          <w:p w14:paraId="2C9710D1" w14:textId="77777777" w:rsidR="00BE58F3" w:rsidRPr="0021034B" w:rsidRDefault="00BE58F3" w:rsidP="00BE58F3">
            <w:pPr>
              <w:pStyle w:val="ListParagraph"/>
              <w:numPr>
                <w:ilvl w:val="0"/>
                <w:numId w:val="32"/>
              </w:numPr>
              <w:rPr>
                <w:rFonts w:ascii="Open Sans Light" w:hAnsi="Open Sans Light" w:cs="Open Sans Light"/>
                <w:sz w:val="20"/>
              </w:rPr>
            </w:pPr>
            <w:r w:rsidRPr="0021034B">
              <w:rPr>
                <w:rFonts w:ascii="Open Sans Light" w:hAnsi="Open Sans Light" w:cs="Open Sans Light"/>
                <w:sz w:val="20"/>
              </w:rPr>
              <w:t xml:space="preserve">Manage key strategic partnerships for example the college’s HEI partners and other stakeholders </w:t>
            </w:r>
          </w:p>
        </w:tc>
      </w:tr>
      <w:tr w:rsidR="00BE58F3" w:rsidRPr="0021034B" w14:paraId="0FD9CF8B" w14:textId="77777777" w:rsidTr="00BE58F3">
        <w:tc>
          <w:tcPr>
            <w:tcW w:w="9889" w:type="dxa"/>
          </w:tcPr>
          <w:p w14:paraId="0099302D" w14:textId="77777777" w:rsidR="00BE58F3" w:rsidRPr="0021034B" w:rsidRDefault="00BE58F3" w:rsidP="00BE58F3">
            <w:pPr>
              <w:pStyle w:val="ListParagraph"/>
              <w:numPr>
                <w:ilvl w:val="0"/>
                <w:numId w:val="32"/>
              </w:numPr>
              <w:rPr>
                <w:rFonts w:ascii="Open Sans Light" w:hAnsi="Open Sans Light" w:cs="Open Sans Light"/>
                <w:sz w:val="20"/>
              </w:rPr>
            </w:pPr>
            <w:r w:rsidRPr="0021034B">
              <w:rPr>
                <w:rFonts w:ascii="Open Sans Light" w:hAnsi="Open Sans Light" w:cs="Open Sans Light"/>
                <w:sz w:val="20"/>
              </w:rPr>
              <w:t>Lead on the development of annual performance targets against strategic and quality improvement priorities</w:t>
            </w:r>
          </w:p>
        </w:tc>
      </w:tr>
      <w:tr w:rsidR="00BE58F3" w:rsidRPr="0021034B" w14:paraId="23EFC0B9" w14:textId="77777777" w:rsidTr="00BE58F3">
        <w:tc>
          <w:tcPr>
            <w:tcW w:w="9889" w:type="dxa"/>
          </w:tcPr>
          <w:p w14:paraId="31FBCCE2" w14:textId="77777777" w:rsidR="00BE58F3" w:rsidRPr="0021034B" w:rsidRDefault="00BE58F3" w:rsidP="00BE58F3">
            <w:pPr>
              <w:pStyle w:val="ListParagraph"/>
              <w:numPr>
                <w:ilvl w:val="0"/>
                <w:numId w:val="32"/>
              </w:numPr>
              <w:rPr>
                <w:rFonts w:ascii="Open Sans Light" w:hAnsi="Open Sans Light" w:cs="Open Sans Light"/>
                <w:sz w:val="20"/>
              </w:rPr>
            </w:pPr>
            <w:r w:rsidRPr="0021034B">
              <w:rPr>
                <w:rFonts w:ascii="Open Sans Light" w:hAnsi="Open Sans Light" w:cs="Open Sans Light"/>
                <w:sz w:val="20"/>
              </w:rPr>
              <w:t>In conjunction with Curriculum Managers, ensure new courses/existing are developed in line with College strategy, meet market demand and need (LMI), including the consideration of any relevant professional bodies</w:t>
            </w:r>
          </w:p>
        </w:tc>
      </w:tr>
      <w:tr w:rsidR="00BE58F3" w:rsidRPr="0021034B" w14:paraId="74DCC923" w14:textId="77777777" w:rsidTr="00BE58F3">
        <w:tc>
          <w:tcPr>
            <w:tcW w:w="9889" w:type="dxa"/>
          </w:tcPr>
          <w:p w14:paraId="3FC14765" w14:textId="77777777" w:rsidR="00BE58F3" w:rsidRPr="0021034B" w:rsidRDefault="001421E1" w:rsidP="00BE58F3">
            <w:pPr>
              <w:numPr>
                <w:ilvl w:val="0"/>
                <w:numId w:val="32"/>
              </w:numPr>
              <w:overflowPunct w:val="0"/>
              <w:autoSpaceDE w:val="0"/>
              <w:autoSpaceDN w:val="0"/>
              <w:adjustRightInd w:val="0"/>
              <w:jc w:val="both"/>
              <w:textAlignment w:val="baseline"/>
              <w:rPr>
                <w:rFonts w:ascii="Open Sans Light" w:eastAsia="Times New Roman" w:hAnsi="Open Sans Light" w:cs="Open Sans Light"/>
                <w:sz w:val="20"/>
                <w:szCs w:val="20"/>
              </w:rPr>
            </w:pPr>
            <w:r w:rsidRPr="0021034B">
              <w:rPr>
                <w:rFonts w:ascii="Open Sans Light" w:hAnsi="Open Sans Light" w:cs="Open Sans Light"/>
                <w:sz w:val="20"/>
                <w:szCs w:val="20"/>
              </w:rPr>
              <w:t>Develop and manage the implementation of the HE Research and Scholarly Activity Strategy and enhancement plans to endure the HE provision is effectively researched, informed and monitored (including the HE Fellowship programme).</w:t>
            </w:r>
          </w:p>
        </w:tc>
      </w:tr>
    </w:tbl>
    <w:p w14:paraId="551D4B56" w14:textId="23F899C1" w:rsidR="001421E1" w:rsidRDefault="001421E1" w:rsidP="001421E1">
      <w:pPr>
        <w:rPr>
          <w:rFonts w:ascii="Open Sans Light" w:hAnsi="Open Sans Light" w:cs="Open Sans Light"/>
          <w:b/>
          <w:sz w:val="20"/>
          <w:szCs w:val="20"/>
        </w:rPr>
      </w:pPr>
    </w:p>
    <w:p w14:paraId="132F4873" w14:textId="77777777" w:rsidR="0021034B" w:rsidRPr="0021034B" w:rsidRDefault="0021034B" w:rsidP="001421E1">
      <w:pPr>
        <w:rPr>
          <w:rFonts w:ascii="Open Sans Light" w:hAnsi="Open Sans Light" w:cs="Open Sans Light"/>
          <w:b/>
          <w:sz w:val="20"/>
          <w:szCs w:val="20"/>
        </w:rPr>
      </w:pPr>
    </w:p>
    <w:p w14:paraId="5FDFF363" w14:textId="77777777" w:rsidR="00BE58F3" w:rsidRPr="0021034B" w:rsidRDefault="001421E1" w:rsidP="0053499D">
      <w:pPr>
        <w:pStyle w:val="ListParagraph"/>
        <w:numPr>
          <w:ilvl w:val="0"/>
          <w:numId w:val="28"/>
        </w:numPr>
        <w:ind w:left="284" w:hanging="284"/>
        <w:rPr>
          <w:rFonts w:ascii="Open Sans Light" w:hAnsi="Open Sans Light" w:cs="Open Sans Light"/>
          <w:b/>
          <w:sz w:val="20"/>
        </w:rPr>
      </w:pPr>
      <w:r w:rsidRPr="0021034B">
        <w:rPr>
          <w:rFonts w:ascii="Open Sans Light" w:hAnsi="Open Sans Light" w:cs="Open Sans Light"/>
          <w:b/>
          <w:sz w:val="20"/>
        </w:rPr>
        <w:lastRenderedPageBreak/>
        <w:t>Management and leadership</w:t>
      </w:r>
    </w:p>
    <w:p w14:paraId="2D89124E" w14:textId="77777777" w:rsidR="001421E1" w:rsidRPr="0021034B" w:rsidRDefault="001421E1" w:rsidP="0053499D">
      <w:pPr>
        <w:pStyle w:val="ListParagraph"/>
        <w:rPr>
          <w:rFonts w:ascii="Open Sans Light" w:hAnsi="Open Sans Light" w:cs="Open Sans Light"/>
          <w:b/>
          <w:sz w:val="20"/>
        </w:rPr>
      </w:pPr>
    </w:p>
    <w:tbl>
      <w:tblPr>
        <w:tblStyle w:val="TableGrid"/>
        <w:tblW w:w="9889" w:type="dxa"/>
        <w:tblInd w:w="-113" w:type="dxa"/>
        <w:tblLook w:val="04A0" w:firstRow="1" w:lastRow="0" w:firstColumn="1" w:lastColumn="0" w:noHBand="0" w:noVBand="1"/>
      </w:tblPr>
      <w:tblGrid>
        <w:gridCol w:w="9889"/>
      </w:tblGrid>
      <w:tr w:rsidR="001421E1" w:rsidRPr="0021034B" w14:paraId="7538387D" w14:textId="77777777" w:rsidTr="00684520">
        <w:tc>
          <w:tcPr>
            <w:tcW w:w="9889" w:type="dxa"/>
          </w:tcPr>
          <w:p w14:paraId="7E8FFF0B"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Establish excellent working relationships with CMT colleagues.</w:t>
            </w:r>
          </w:p>
        </w:tc>
      </w:tr>
      <w:tr w:rsidR="004D1358" w:rsidRPr="0021034B" w14:paraId="79C76F5F" w14:textId="77777777" w:rsidTr="00684520">
        <w:tc>
          <w:tcPr>
            <w:tcW w:w="9889" w:type="dxa"/>
          </w:tcPr>
          <w:p w14:paraId="08DBF80B" w14:textId="77777777" w:rsidR="004D1358" w:rsidRPr="0021034B" w:rsidRDefault="004D1358"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Plan, prepare and chair cross-college Apprenticeship meetings</w:t>
            </w:r>
          </w:p>
        </w:tc>
      </w:tr>
      <w:tr w:rsidR="001421E1" w:rsidRPr="0021034B" w14:paraId="28C66517" w14:textId="77777777" w:rsidTr="00684520">
        <w:tc>
          <w:tcPr>
            <w:tcW w:w="9889" w:type="dxa"/>
          </w:tcPr>
          <w:p w14:paraId="7308843F"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Working with the Curriculum teams and the Marketing team, develop appropriate marketing collateral for HE (USPs).</w:t>
            </w:r>
          </w:p>
        </w:tc>
      </w:tr>
      <w:tr w:rsidR="001421E1" w:rsidRPr="0021034B" w14:paraId="3167C6CE" w14:textId="77777777" w:rsidTr="00684520">
        <w:tc>
          <w:tcPr>
            <w:tcW w:w="9889" w:type="dxa"/>
          </w:tcPr>
          <w:p w14:paraId="5E20F51A"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 xml:space="preserve">Working with the Marketing and Curriculum teams, use of variety of channels and methods to promote awareness, understanding and opportunities including case studies, newsletters and related community engagement. </w:t>
            </w:r>
          </w:p>
        </w:tc>
      </w:tr>
      <w:tr w:rsidR="001421E1" w:rsidRPr="0021034B" w14:paraId="16A567AE" w14:textId="77777777" w:rsidTr="00684520">
        <w:tc>
          <w:tcPr>
            <w:tcW w:w="9889" w:type="dxa"/>
          </w:tcPr>
          <w:p w14:paraId="754296F0"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Raise the awareness, profile and value of HE across cross-college and liaise with the Careers team and Curriculum teams to develop and deliver cross-college HE progression events and activities, including a regular HE Bulletin</w:t>
            </w:r>
          </w:p>
        </w:tc>
      </w:tr>
      <w:tr w:rsidR="001421E1" w:rsidRPr="0021034B" w14:paraId="7AAEDA65" w14:textId="77777777" w:rsidTr="00684520">
        <w:tc>
          <w:tcPr>
            <w:tcW w:w="9889" w:type="dxa"/>
          </w:tcPr>
          <w:p w14:paraId="628746AA"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Provide regular reports, analysis, interpretation and recommendations to ACMT, CMT, SMT and Corporation including compliance relating to regulatory requirements</w:t>
            </w:r>
          </w:p>
        </w:tc>
      </w:tr>
      <w:tr w:rsidR="001421E1" w:rsidRPr="0021034B" w14:paraId="312A6CE3" w14:textId="77777777" w:rsidTr="00684520">
        <w:tc>
          <w:tcPr>
            <w:tcW w:w="9889" w:type="dxa"/>
          </w:tcPr>
          <w:p w14:paraId="20FD5173"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 xml:space="preserve">Liaise with MIS to produce external data returns for </w:t>
            </w:r>
            <w:proofErr w:type="spellStart"/>
            <w:r w:rsidRPr="0021034B">
              <w:rPr>
                <w:rFonts w:ascii="Open Sans Light" w:hAnsi="Open Sans Light" w:cs="Open Sans Light"/>
                <w:sz w:val="20"/>
              </w:rPr>
              <w:t>OfS</w:t>
            </w:r>
            <w:proofErr w:type="spellEnd"/>
            <w:r w:rsidRPr="0021034B">
              <w:rPr>
                <w:rFonts w:ascii="Open Sans Light" w:hAnsi="Open Sans Light" w:cs="Open Sans Light"/>
                <w:sz w:val="20"/>
              </w:rPr>
              <w:t xml:space="preserve"> including HE ILR, HEIFES, Access Monitoring Return (APP) </w:t>
            </w:r>
          </w:p>
        </w:tc>
      </w:tr>
      <w:tr w:rsidR="001421E1" w:rsidRPr="0021034B" w14:paraId="70C1CCA2" w14:textId="77777777" w:rsidTr="00684520">
        <w:tc>
          <w:tcPr>
            <w:tcW w:w="9889" w:type="dxa"/>
          </w:tcPr>
          <w:p w14:paraId="43A01E93"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Collaborate with EAG and Student Records Managers to ensure effective student recruitment and enrolment.</w:t>
            </w:r>
          </w:p>
        </w:tc>
      </w:tr>
      <w:tr w:rsidR="001421E1" w:rsidRPr="0021034B" w14:paraId="4F228AD5" w14:textId="77777777" w:rsidTr="00684520">
        <w:tc>
          <w:tcPr>
            <w:tcW w:w="9889" w:type="dxa"/>
          </w:tcPr>
          <w:p w14:paraId="55D45DE2"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Monitor and report on applications, attendance, achievement and other relevant KPIs.</w:t>
            </w:r>
          </w:p>
        </w:tc>
      </w:tr>
      <w:tr w:rsidR="001421E1" w:rsidRPr="0021034B" w14:paraId="363B50AA" w14:textId="77777777" w:rsidTr="00684520">
        <w:tc>
          <w:tcPr>
            <w:tcW w:w="9889" w:type="dxa"/>
          </w:tcPr>
          <w:p w14:paraId="7B34DE26"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Write the annual institutional monitoring reports for Partner Institutions.</w:t>
            </w:r>
          </w:p>
        </w:tc>
      </w:tr>
      <w:tr w:rsidR="001421E1" w:rsidRPr="0021034B" w14:paraId="36F27708" w14:textId="77777777" w:rsidTr="00684520">
        <w:tc>
          <w:tcPr>
            <w:tcW w:w="9889" w:type="dxa"/>
          </w:tcPr>
          <w:p w14:paraId="1C926326"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 xml:space="preserve">Manage the day to day operations of the central HE </w:t>
            </w:r>
            <w:proofErr w:type="gramStart"/>
            <w:r w:rsidRPr="0021034B">
              <w:rPr>
                <w:rFonts w:ascii="Open Sans Light" w:hAnsi="Open Sans Light" w:cs="Open Sans Light"/>
                <w:sz w:val="20"/>
              </w:rPr>
              <w:t>support</w:t>
            </w:r>
            <w:proofErr w:type="gramEnd"/>
            <w:r w:rsidRPr="0021034B">
              <w:rPr>
                <w:rFonts w:ascii="Open Sans Light" w:hAnsi="Open Sans Light" w:cs="Open Sans Light"/>
                <w:sz w:val="20"/>
              </w:rPr>
              <w:t xml:space="preserve"> function including development of key processes and Programme Manager handbook.</w:t>
            </w:r>
          </w:p>
        </w:tc>
      </w:tr>
      <w:tr w:rsidR="001421E1" w:rsidRPr="0021034B" w14:paraId="7229D45E" w14:textId="77777777" w:rsidTr="00684520">
        <w:tc>
          <w:tcPr>
            <w:tcW w:w="9889" w:type="dxa"/>
          </w:tcPr>
          <w:p w14:paraId="0ECD39A9"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Manage external examiner liaison</w:t>
            </w:r>
          </w:p>
        </w:tc>
      </w:tr>
      <w:tr w:rsidR="001421E1" w:rsidRPr="0021034B" w14:paraId="2A9EF449" w14:textId="77777777" w:rsidTr="00684520">
        <w:tc>
          <w:tcPr>
            <w:tcW w:w="9889" w:type="dxa"/>
          </w:tcPr>
          <w:p w14:paraId="49C52165"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Lead on HE student academic review and academic misconduct processes including mitigating circumstances</w:t>
            </w:r>
          </w:p>
        </w:tc>
      </w:tr>
      <w:tr w:rsidR="001421E1" w:rsidRPr="0021034B" w14:paraId="5816EC4F" w14:textId="77777777" w:rsidTr="00684520">
        <w:tc>
          <w:tcPr>
            <w:tcW w:w="9889" w:type="dxa"/>
          </w:tcPr>
          <w:p w14:paraId="2F0E7122"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Chair Higher Education Board of Study</w:t>
            </w:r>
          </w:p>
        </w:tc>
      </w:tr>
      <w:tr w:rsidR="001421E1" w:rsidRPr="0021034B" w14:paraId="4788DAE6" w14:textId="77777777" w:rsidTr="00684520">
        <w:tc>
          <w:tcPr>
            <w:tcW w:w="9889" w:type="dxa"/>
          </w:tcPr>
          <w:p w14:paraId="02746D11"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Coordinate examination and progression boards, producing modular reports, individual academic performance reports and produce student transcripts</w:t>
            </w:r>
          </w:p>
        </w:tc>
      </w:tr>
      <w:tr w:rsidR="001421E1" w:rsidRPr="0021034B" w14:paraId="5C1372B7" w14:textId="77777777" w:rsidTr="00684520">
        <w:tc>
          <w:tcPr>
            <w:tcW w:w="9889" w:type="dxa"/>
          </w:tcPr>
          <w:p w14:paraId="68428C76"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Provide guidance, support and CPD to HE Programme Managers through regular meetings.</w:t>
            </w:r>
          </w:p>
        </w:tc>
      </w:tr>
      <w:tr w:rsidR="001421E1" w:rsidRPr="0021034B" w14:paraId="2BE2998B" w14:textId="77777777" w:rsidTr="00684520">
        <w:tc>
          <w:tcPr>
            <w:tcW w:w="9889" w:type="dxa"/>
          </w:tcPr>
          <w:p w14:paraId="7124CD3D"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Liaise with registry and exams to ensure accuracy of enrolment and maintenance of students’ academic records, using the College’s and validating partner’s MIS platform.</w:t>
            </w:r>
          </w:p>
        </w:tc>
      </w:tr>
      <w:tr w:rsidR="001421E1" w:rsidRPr="0021034B" w14:paraId="5A4BAB78" w14:textId="77777777" w:rsidTr="00684520">
        <w:tc>
          <w:tcPr>
            <w:tcW w:w="9889" w:type="dxa"/>
          </w:tcPr>
          <w:p w14:paraId="2F29310E"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Work with the Learning technology team to ensure the build and maintenance of HE programme structures on college systems (e.g. ProMonitor, TEAMs) to reflect academic regulations and annual approved changes.</w:t>
            </w:r>
          </w:p>
        </w:tc>
      </w:tr>
      <w:tr w:rsidR="001421E1" w:rsidRPr="0021034B" w14:paraId="61BC4ACE" w14:textId="77777777" w:rsidTr="00684520">
        <w:tc>
          <w:tcPr>
            <w:tcW w:w="9889" w:type="dxa"/>
          </w:tcPr>
          <w:p w14:paraId="23FDFC14" w14:textId="77777777" w:rsidR="001421E1" w:rsidRPr="0021034B" w:rsidRDefault="001421E1" w:rsidP="0053499D">
            <w:pPr>
              <w:pStyle w:val="ListParagraph"/>
              <w:numPr>
                <w:ilvl w:val="0"/>
                <w:numId w:val="35"/>
              </w:numPr>
              <w:rPr>
                <w:rFonts w:ascii="Open Sans Light" w:hAnsi="Open Sans Light" w:cs="Open Sans Light"/>
                <w:sz w:val="20"/>
              </w:rPr>
            </w:pPr>
            <w:r w:rsidRPr="0021034B">
              <w:rPr>
                <w:rFonts w:ascii="Open Sans Light" w:hAnsi="Open Sans Light" w:cs="Open Sans Light"/>
                <w:sz w:val="20"/>
              </w:rPr>
              <w:t>Manage the cross-college student teams page and SharePoint hub; and the staff SharePoint to ensure all relevant documents and guidance is UpToDate and easily accessible.</w:t>
            </w:r>
          </w:p>
        </w:tc>
      </w:tr>
      <w:tr w:rsidR="001421E1" w:rsidRPr="0021034B" w14:paraId="6CFEAE73" w14:textId="77777777" w:rsidTr="00684520">
        <w:tc>
          <w:tcPr>
            <w:tcW w:w="9889" w:type="dxa"/>
          </w:tcPr>
          <w:p w14:paraId="0F8E9BE1"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Manage HE central budget.</w:t>
            </w:r>
          </w:p>
        </w:tc>
      </w:tr>
      <w:tr w:rsidR="001421E1" w:rsidRPr="0021034B" w14:paraId="5A296C4C" w14:textId="77777777" w:rsidTr="00684520">
        <w:tc>
          <w:tcPr>
            <w:tcW w:w="9889" w:type="dxa"/>
          </w:tcPr>
          <w:p w14:paraId="017755F6"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Liaise with Bursary Officer and lead on appropriate allocation of HE bursaries and hardship funds.</w:t>
            </w:r>
          </w:p>
        </w:tc>
      </w:tr>
      <w:tr w:rsidR="001421E1" w:rsidRPr="0021034B" w14:paraId="0138D707" w14:textId="77777777" w:rsidTr="00684520">
        <w:tc>
          <w:tcPr>
            <w:tcW w:w="9889" w:type="dxa"/>
          </w:tcPr>
          <w:p w14:paraId="022C86B7"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Ensure that all student queries, DSA support and complaints are dealt with in a timely manner and in line with college policy.</w:t>
            </w:r>
          </w:p>
        </w:tc>
      </w:tr>
      <w:tr w:rsidR="001421E1" w:rsidRPr="0021034B" w14:paraId="4D8F4701" w14:textId="77777777" w:rsidTr="00684520">
        <w:tc>
          <w:tcPr>
            <w:tcW w:w="9889" w:type="dxa"/>
          </w:tcPr>
          <w:p w14:paraId="7C9DD207" w14:textId="77777777" w:rsidR="001421E1" w:rsidRPr="0021034B" w:rsidRDefault="001421E1" w:rsidP="0053499D">
            <w:pPr>
              <w:pStyle w:val="ListParagraph"/>
              <w:numPr>
                <w:ilvl w:val="0"/>
                <w:numId w:val="35"/>
              </w:numPr>
              <w:jc w:val="both"/>
              <w:rPr>
                <w:rFonts w:ascii="Open Sans Light" w:hAnsi="Open Sans Light" w:cs="Open Sans Light"/>
                <w:sz w:val="20"/>
              </w:rPr>
            </w:pPr>
            <w:r w:rsidRPr="0021034B">
              <w:rPr>
                <w:rFonts w:ascii="Open Sans Light" w:hAnsi="Open Sans Light" w:cs="Open Sans Light"/>
                <w:sz w:val="20"/>
              </w:rPr>
              <w:t>Line Manage the HE Quality and Student Experience Officer.</w:t>
            </w:r>
          </w:p>
        </w:tc>
      </w:tr>
    </w:tbl>
    <w:p w14:paraId="0CA3D0C0" w14:textId="77777777" w:rsidR="001421E1" w:rsidRPr="0021034B" w:rsidRDefault="001421E1" w:rsidP="001421E1">
      <w:pPr>
        <w:spacing w:after="0" w:line="240" w:lineRule="auto"/>
        <w:contextualSpacing/>
        <w:jc w:val="both"/>
        <w:rPr>
          <w:rFonts w:ascii="Open Sans Light" w:eastAsia="Times New Roman" w:hAnsi="Open Sans Light" w:cs="Open Sans Light"/>
          <w:b/>
          <w:sz w:val="20"/>
          <w:szCs w:val="20"/>
        </w:rPr>
      </w:pPr>
    </w:p>
    <w:p w14:paraId="038C11FF" w14:textId="77777777" w:rsidR="001421E1" w:rsidRPr="0021034B" w:rsidRDefault="001421E1" w:rsidP="0053499D">
      <w:pPr>
        <w:pStyle w:val="ListParagraph"/>
        <w:numPr>
          <w:ilvl w:val="0"/>
          <w:numId w:val="28"/>
        </w:numPr>
        <w:contextualSpacing/>
        <w:jc w:val="both"/>
        <w:rPr>
          <w:rFonts w:ascii="Open Sans Light" w:hAnsi="Open Sans Light" w:cs="Open Sans Light"/>
          <w:b/>
          <w:sz w:val="20"/>
        </w:rPr>
      </w:pPr>
      <w:r w:rsidRPr="0021034B">
        <w:rPr>
          <w:rFonts w:ascii="Open Sans Light" w:hAnsi="Open Sans Light" w:cs="Open Sans Light"/>
          <w:b/>
          <w:sz w:val="20"/>
        </w:rPr>
        <w:t>The curriculum, quality and student experience</w:t>
      </w:r>
    </w:p>
    <w:tbl>
      <w:tblPr>
        <w:tblStyle w:val="TableGrid"/>
        <w:tblW w:w="9889" w:type="dxa"/>
        <w:tblInd w:w="-113" w:type="dxa"/>
        <w:tblLook w:val="04A0" w:firstRow="1" w:lastRow="0" w:firstColumn="1" w:lastColumn="0" w:noHBand="0" w:noVBand="1"/>
      </w:tblPr>
      <w:tblGrid>
        <w:gridCol w:w="9889"/>
      </w:tblGrid>
      <w:tr w:rsidR="001421E1" w:rsidRPr="0021034B" w14:paraId="6C0C029E" w14:textId="77777777" w:rsidTr="00684520">
        <w:tc>
          <w:tcPr>
            <w:tcW w:w="9889" w:type="dxa"/>
          </w:tcPr>
          <w:p w14:paraId="2F9B189D"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Lead on the design and implementation of a college wide HE student voice strategy which enables a clear, consistent and effective two-way flow of communication, aligned with the Quality Cycle.</w:t>
            </w:r>
          </w:p>
        </w:tc>
      </w:tr>
      <w:tr w:rsidR="001421E1" w:rsidRPr="0021034B" w14:paraId="19209B4D" w14:textId="77777777" w:rsidTr="00684520">
        <w:tc>
          <w:tcPr>
            <w:tcW w:w="9889" w:type="dxa"/>
          </w:tcPr>
          <w:p w14:paraId="23CD6175"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Develop and implement an internal communication strategy to ensure that all staff are well informed, listened to and engaged in all aspects of HE activity.</w:t>
            </w:r>
          </w:p>
        </w:tc>
      </w:tr>
      <w:tr w:rsidR="001421E1" w:rsidRPr="0021034B" w14:paraId="7DE34ADE" w14:textId="77777777" w:rsidTr="00684520">
        <w:tc>
          <w:tcPr>
            <w:tcW w:w="9889" w:type="dxa"/>
          </w:tcPr>
          <w:p w14:paraId="12F28BA1"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Develop and implement a student experience strategy to ensure that students have access to a wide range of enrichment opportunities to help them belong.</w:t>
            </w:r>
          </w:p>
        </w:tc>
      </w:tr>
      <w:tr w:rsidR="001421E1" w:rsidRPr="0021034B" w14:paraId="35255FC4" w14:textId="77777777" w:rsidTr="00684520">
        <w:tc>
          <w:tcPr>
            <w:tcW w:w="9889" w:type="dxa"/>
          </w:tcPr>
          <w:p w14:paraId="13BC2D5F"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lastRenderedPageBreak/>
              <w:t>Develop and implement a college-wide HE induction to ensure students have an informative, supportive and exciting start to their academic year.</w:t>
            </w:r>
          </w:p>
        </w:tc>
      </w:tr>
      <w:tr w:rsidR="001421E1" w:rsidRPr="0021034B" w14:paraId="705E6347" w14:textId="77777777" w:rsidTr="00684520">
        <w:tc>
          <w:tcPr>
            <w:tcW w:w="9889" w:type="dxa"/>
          </w:tcPr>
          <w:p w14:paraId="75D7BC44"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Manage and support HE curriculum development activities including validations.</w:t>
            </w:r>
          </w:p>
        </w:tc>
      </w:tr>
      <w:tr w:rsidR="001421E1" w:rsidRPr="0021034B" w14:paraId="3945505F" w14:textId="77777777" w:rsidTr="00684520">
        <w:tc>
          <w:tcPr>
            <w:tcW w:w="9889" w:type="dxa"/>
          </w:tcPr>
          <w:p w14:paraId="70138E41"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Working with Curriculum Managers, ensure delivery models are responsive to the programme, professional bodies and sector need, and are efficient and appropriately resourced, including the development of cross-college modules.</w:t>
            </w:r>
          </w:p>
        </w:tc>
      </w:tr>
      <w:tr w:rsidR="001421E1" w:rsidRPr="0021034B" w14:paraId="496F81DF" w14:textId="77777777" w:rsidTr="00684520">
        <w:tc>
          <w:tcPr>
            <w:tcW w:w="9889" w:type="dxa"/>
          </w:tcPr>
          <w:p w14:paraId="3329109F" w14:textId="77777777" w:rsidR="001421E1" w:rsidRPr="0021034B" w:rsidRDefault="001421E1" w:rsidP="0053499D">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Working with the Head of Teaching and Learning and Curriculum teams, ensure programme intent and implementation meets the outcomes of the degree programmes.</w:t>
            </w:r>
          </w:p>
        </w:tc>
      </w:tr>
      <w:tr w:rsidR="004D1358" w:rsidRPr="0021034B" w14:paraId="13AC708F" w14:textId="77777777" w:rsidTr="00684520">
        <w:tc>
          <w:tcPr>
            <w:tcW w:w="9889" w:type="dxa"/>
          </w:tcPr>
          <w:p w14:paraId="55D6273F" w14:textId="77777777" w:rsidR="004D1358" w:rsidRPr="0021034B" w:rsidRDefault="004D1358" w:rsidP="004D1358">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 xml:space="preserve">Working with the Director or Quality and Curriculum Managers ensure that a </w:t>
            </w:r>
            <w:r w:rsidR="000F1766" w:rsidRPr="0021034B">
              <w:rPr>
                <w:rFonts w:ascii="Open Sans Light" w:hAnsi="Open Sans Light" w:cs="Open Sans Light"/>
                <w:sz w:val="20"/>
              </w:rPr>
              <w:t>broad</w:t>
            </w:r>
            <w:r w:rsidRPr="0021034B">
              <w:rPr>
                <w:rFonts w:ascii="Open Sans Light" w:hAnsi="Open Sans Light" w:cs="Open Sans Light"/>
                <w:sz w:val="20"/>
              </w:rPr>
              <w:t xml:space="preserve"> ranging evidence base is utilised across the organisation to measure evaluate and monitor all aspects of curriculum, student performance and progress, including writing the cross-college SAR and </w:t>
            </w:r>
            <w:proofErr w:type="spellStart"/>
            <w:r w:rsidRPr="0021034B">
              <w:rPr>
                <w:rFonts w:ascii="Open Sans Light" w:hAnsi="Open Sans Light" w:cs="Open Sans Light"/>
                <w:sz w:val="20"/>
              </w:rPr>
              <w:t>QuIP</w:t>
            </w:r>
            <w:proofErr w:type="spellEnd"/>
          </w:p>
        </w:tc>
      </w:tr>
      <w:tr w:rsidR="004D1358" w:rsidRPr="0021034B" w14:paraId="59F2C375" w14:textId="77777777" w:rsidTr="00684520">
        <w:tc>
          <w:tcPr>
            <w:tcW w:w="9889" w:type="dxa"/>
          </w:tcPr>
          <w:p w14:paraId="5966DB2A" w14:textId="77777777" w:rsidR="004D1358" w:rsidRPr="0021034B" w:rsidRDefault="004D1358" w:rsidP="004D1358">
            <w:pPr>
              <w:pStyle w:val="ListParagraph"/>
              <w:numPr>
                <w:ilvl w:val="0"/>
                <w:numId w:val="36"/>
              </w:numPr>
              <w:jc w:val="both"/>
              <w:rPr>
                <w:rFonts w:ascii="Open Sans Light" w:hAnsi="Open Sans Light" w:cs="Open Sans Light"/>
                <w:sz w:val="20"/>
              </w:rPr>
            </w:pPr>
            <w:r w:rsidRPr="0021034B">
              <w:rPr>
                <w:rFonts w:ascii="Open Sans Light" w:hAnsi="Open Sans Light" w:cs="Open Sans Light"/>
                <w:sz w:val="20"/>
              </w:rPr>
              <w:t>Develop a service level agreement for the HE office, and lead on associated monitoring and self-evaluation</w:t>
            </w:r>
          </w:p>
        </w:tc>
      </w:tr>
    </w:tbl>
    <w:p w14:paraId="51413A3E" w14:textId="77777777" w:rsidR="001421E1" w:rsidRPr="0021034B" w:rsidRDefault="001421E1">
      <w:pPr>
        <w:rPr>
          <w:rFonts w:ascii="Open Sans Light" w:eastAsia="Times New Roman" w:hAnsi="Open Sans Light" w:cs="Open Sans Light"/>
          <w:b/>
          <w:sz w:val="20"/>
          <w:szCs w:val="20"/>
        </w:rPr>
      </w:pPr>
    </w:p>
    <w:p w14:paraId="4E643517" w14:textId="7825B9BB" w:rsidR="00A9131B" w:rsidRPr="0021034B" w:rsidRDefault="00A9131B" w:rsidP="0021034B">
      <w:pPr>
        <w:pStyle w:val="ListParagraph"/>
        <w:numPr>
          <w:ilvl w:val="0"/>
          <w:numId w:val="28"/>
        </w:numPr>
        <w:spacing w:line="360" w:lineRule="auto"/>
        <w:contextualSpacing/>
        <w:rPr>
          <w:rFonts w:ascii="Open Sans Light" w:hAnsi="Open Sans Light" w:cs="Open Sans Light"/>
          <w:b/>
          <w:sz w:val="20"/>
        </w:rPr>
      </w:pPr>
      <w:r w:rsidRPr="0021034B">
        <w:rPr>
          <w:rFonts w:ascii="Open Sans Light" w:hAnsi="Open Sans Light" w:cs="Open Sans Light"/>
          <w:b/>
          <w:sz w:val="20"/>
        </w:rPr>
        <w:t>College Management Team</w:t>
      </w:r>
    </w:p>
    <w:tbl>
      <w:tblPr>
        <w:tblStyle w:val="TableGrid"/>
        <w:tblW w:w="9606" w:type="dxa"/>
        <w:tblLook w:val="04A0" w:firstRow="1" w:lastRow="0" w:firstColumn="1" w:lastColumn="0" w:noHBand="0" w:noVBand="1"/>
      </w:tblPr>
      <w:tblGrid>
        <w:gridCol w:w="9606"/>
      </w:tblGrid>
      <w:tr w:rsidR="00D03817" w:rsidRPr="0021034B" w14:paraId="6C5BDCC0" w14:textId="77777777" w:rsidTr="00F05913">
        <w:tc>
          <w:tcPr>
            <w:tcW w:w="9606" w:type="dxa"/>
          </w:tcPr>
          <w:p w14:paraId="755581A7" w14:textId="77777777" w:rsidR="00A9131B" w:rsidRPr="0021034B" w:rsidRDefault="00D03817" w:rsidP="00D03817">
            <w:pPr>
              <w:pStyle w:val="ListParagraph"/>
              <w:numPr>
                <w:ilvl w:val="0"/>
                <w:numId w:val="29"/>
              </w:numPr>
              <w:spacing w:after="160" w:line="259" w:lineRule="auto"/>
              <w:ind w:left="306" w:hanging="306"/>
              <w:rPr>
                <w:rFonts w:ascii="Open Sans Light" w:hAnsi="Open Sans Light" w:cs="Open Sans Light"/>
                <w:sz w:val="20"/>
              </w:rPr>
            </w:pPr>
            <w:r w:rsidRPr="0021034B">
              <w:rPr>
                <w:rFonts w:ascii="Open Sans Light" w:hAnsi="Open Sans Light" w:cs="Open Sans Light"/>
                <w:sz w:val="20"/>
              </w:rPr>
              <w:t>T</w:t>
            </w:r>
            <w:r w:rsidR="00A9131B" w:rsidRPr="0021034B">
              <w:rPr>
                <w:rFonts w:ascii="Open Sans Light" w:hAnsi="Open Sans Light" w:cs="Open Sans Light"/>
                <w:sz w:val="20"/>
              </w:rPr>
              <w:t>o contribute to the wider College Management Team and undertake any further duties commensurate with the grade and responsibilities of the post allocated by the Head of Faculty or a member of SMT.</w:t>
            </w:r>
          </w:p>
        </w:tc>
      </w:tr>
    </w:tbl>
    <w:p w14:paraId="3375CE6D" w14:textId="0420CBC1" w:rsidR="00C44CD3" w:rsidRPr="0021034B" w:rsidRDefault="00C44CD3">
      <w:pPr>
        <w:rPr>
          <w:rFonts w:ascii="Open Sans Light" w:eastAsia="Times New Roman" w:hAnsi="Open Sans Light" w:cs="Open Sans Light"/>
          <w:b/>
          <w:sz w:val="20"/>
          <w:szCs w:val="20"/>
        </w:rPr>
      </w:pPr>
    </w:p>
    <w:p w14:paraId="497D0390" w14:textId="77777777" w:rsidR="00A81AD2" w:rsidRPr="0021034B" w:rsidRDefault="00A81AD2" w:rsidP="0053499D">
      <w:pPr>
        <w:rPr>
          <w:rFonts w:ascii="Open Sans Light" w:eastAsia="Times New Roman" w:hAnsi="Open Sans Light" w:cs="Open Sans Light"/>
          <w:b/>
          <w:sz w:val="20"/>
          <w:szCs w:val="20"/>
        </w:rPr>
      </w:pPr>
      <w:r w:rsidRPr="0021034B">
        <w:rPr>
          <w:rFonts w:ascii="Open Sans Light" w:eastAsia="Times New Roman" w:hAnsi="Open Sans Light" w:cs="Open Sans Light"/>
          <w:b/>
          <w:sz w:val="20"/>
          <w:szCs w:val="20"/>
        </w:rPr>
        <w:t>Qualifications</w:t>
      </w:r>
      <w:r w:rsidR="00E46835" w:rsidRPr="0021034B">
        <w:rPr>
          <w:rFonts w:ascii="Open Sans Light" w:eastAsia="Times New Roman" w:hAnsi="Open Sans Light" w:cs="Open Sans Light"/>
          <w:b/>
          <w:sz w:val="20"/>
          <w:szCs w:val="20"/>
        </w:rPr>
        <w:t xml:space="preserve"> </w:t>
      </w:r>
      <w:r w:rsidRPr="0021034B">
        <w:rPr>
          <w:rFonts w:ascii="Open Sans Light" w:eastAsia="Times New Roman" w:hAnsi="Open Sans Light" w:cs="Open Sans Light"/>
          <w:b/>
          <w:sz w:val="20"/>
          <w:szCs w:val="20"/>
        </w:rPr>
        <w:t>/</w:t>
      </w:r>
      <w:r w:rsidR="00E46835" w:rsidRPr="0021034B">
        <w:rPr>
          <w:rFonts w:ascii="Open Sans Light" w:eastAsia="Times New Roman" w:hAnsi="Open Sans Light" w:cs="Open Sans Light"/>
          <w:b/>
          <w:sz w:val="20"/>
          <w:szCs w:val="20"/>
        </w:rPr>
        <w:t xml:space="preserve"> </w:t>
      </w:r>
      <w:r w:rsidRPr="0021034B">
        <w:rPr>
          <w:rFonts w:ascii="Open Sans Light" w:eastAsia="Times New Roman" w:hAnsi="Open Sans Light" w:cs="Open Sans Light"/>
          <w:b/>
          <w:sz w:val="20"/>
          <w:szCs w:val="20"/>
        </w:rPr>
        <w:t>Skills</w:t>
      </w:r>
      <w:r w:rsidR="00E46835" w:rsidRPr="0021034B">
        <w:rPr>
          <w:rFonts w:ascii="Open Sans Light" w:eastAsia="Times New Roman" w:hAnsi="Open Sans Light" w:cs="Open Sans Light"/>
          <w:b/>
          <w:sz w:val="20"/>
          <w:szCs w:val="20"/>
        </w:rPr>
        <w:t xml:space="preserve"> </w:t>
      </w:r>
      <w:r w:rsidRPr="0021034B">
        <w:rPr>
          <w:rFonts w:ascii="Open Sans Light" w:eastAsia="Times New Roman" w:hAnsi="Open Sans Light" w:cs="Open Sans Light"/>
          <w:b/>
          <w:sz w:val="20"/>
          <w:szCs w:val="20"/>
        </w:rPr>
        <w:t>/</w:t>
      </w:r>
      <w:r w:rsidR="00E46835" w:rsidRPr="0021034B">
        <w:rPr>
          <w:rFonts w:ascii="Open Sans Light" w:eastAsia="Times New Roman" w:hAnsi="Open Sans Light" w:cs="Open Sans Light"/>
          <w:b/>
          <w:sz w:val="20"/>
          <w:szCs w:val="20"/>
        </w:rPr>
        <w:t xml:space="preserve"> </w:t>
      </w:r>
      <w:r w:rsidRPr="0021034B">
        <w:rPr>
          <w:rFonts w:ascii="Open Sans Light" w:eastAsia="Times New Roman" w:hAnsi="Open Sans Light" w:cs="Open Sans Light"/>
          <w:b/>
          <w:sz w:val="20"/>
          <w:szCs w:val="20"/>
        </w:rPr>
        <w:t>Knowledge</w:t>
      </w:r>
      <w:r w:rsidR="00E46835" w:rsidRPr="0021034B">
        <w:rPr>
          <w:rFonts w:ascii="Open Sans Light" w:eastAsia="Times New Roman" w:hAnsi="Open Sans Light" w:cs="Open Sans Light"/>
          <w:b/>
          <w:sz w:val="20"/>
          <w:szCs w:val="20"/>
        </w:rPr>
        <w:t xml:space="preserve"> </w:t>
      </w:r>
      <w:r w:rsidRPr="0021034B">
        <w:rPr>
          <w:rFonts w:ascii="Open Sans Light" w:eastAsia="Times New Roman" w:hAnsi="Open Sans Light" w:cs="Open Sans Light"/>
          <w:b/>
          <w:sz w:val="20"/>
          <w:szCs w:val="20"/>
        </w:rPr>
        <w:t>/</w:t>
      </w:r>
      <w:r w:rsidR="00E46835" w:rsidRPr="0021034B">
        <w:rPr>
          <w:rFonts w:ascii="Open Sans Light" w:eastAsia="Times New Roman" w:hAnsi="Open Sans Light" w:cs="Open Sans Light"/>
          <w:b/>
          <w:sz w:val="20"/>
          <w:szCs w:val="20"/>
        </w:rPr>
        <w:t xml:space="preserve"> </w:t>
      </w:r>
      <w:r w:rsidRPr="0021034B">
        <w:rPr>
          <w:rFonts w:ascii="Open Sans Light" w:eastAsia="Times New Roman" w:hAnsi="Open Sans Light" w:cs="Open Sans Light"/>
          <w:b/>
          <w:sz w:val="20"/>
          <w:szCs w:val="20"/>
        </w:rPr>
        <w:t>Qualities</w:t>
      </w:r>
    </w:p>
    <w:p w14:paraId="5BFE8E97" w14:textId="77777777" w:rsidR="00A81AD2" w:rsidRPr="0021034B" w:rsidRDefault="00A81AD2" w:rsidP="00A81AD2">
      <w:pPr>
        <w:spacing w:after="0" w:line="240" w:lineRule="auto"/>
        <w:contextualSpacing/>
        <w:jc w:val="both"/>
        <w:rPr>
          <w:rFonts w:ascii="Open Sans Light" w:eastAsia="Times New Roman" w:hAnsi="Open Sans Light" w:cs="Open Sans Light"/>
          <w:b/>
          <w:sz w:val="20"/>
          <w:szCs w:val="20"/>
          <w:u w:val="single"/>
        </w:rPr>
      </w:pPr>
    </w:p>
    <w:p w14:paraId="4FB12A8B" w14:textId="77777777" w:rsidR="00A81AD2" w:rsidRPr="0021034B" w:rsidRDefault="00A81AD2" w:rsidP="00A81AD2">
      <w:pPr>
        <w:spacing w:after="0" w:line="240" w:lineRule="auto"/>
        <w:contextualSpacing/>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 xml:space="preserve">It is crucial that the successful candidate shares our </w:t>
      </w:r>
      <w:r w:rsidR="00C223EE" w:rsidRPr="0021034B">
        <w:rPr>
          <w:rFonts w:ascii="Open Sans Light" w:eastAsia="Times New Roman" w:hAnsi="Open Sans Light" w:cs="Open Sans Light"/>
          <w:sz w:val="20"/>
          <w:szCs w:val="20"/>
        </w:rPr>
        <w:t>student-focused</w:t>
      </w:r>
      <w:r w:rsidRPr="0021034B">
        <w:rPr>
          <w:rFonts w:ascii="Open Sans Light" w:eastAsia="Times New Roman" w:hAnsi="Open Sans Light" w:cs="Open Sans Light"/>
          <w:sz w:val="20"/>
          <w:szCs w:val="20"/>
        </w:rPr>
        <w:t xml:space="preserve"> values, equality of opportunity and parity of esteem for staff and students.  </w:t>
      </w:r>
    </w:p>
    <w:p w14:paraId="5ABA01B8" w14:textId="77777777" w:rsidR="00A81AD2" w:rsidRPr="0021034B" w:rsidRDefault="00A81AD2" w:rsidP="00A81AD2">
      <w:pPr>
        <w:spacing w:after="0" w:line="240" w:lineRule="auto"/>
        <w:contextualSpacing/>
        <w:rPr>
          <w:rFonts w:ascii="Open Sans Light" w:eastAsia="Times New Roman" w:hAnsi="Open Sans Light" w:cs="Open Sans Light"/>
          <w:sz w:val="20"/>
          <w:szCs w:val="20"/>
        </w:rPr>
      </w:pPr>
    </w:p>
    <w:p w14:paraId="2CE0C6E9" w14:textId="77777777" w:rsidR="00A81AD2" w:rsidRPr="0021034B" w:rsidRDefault="00A81AD2" w:rsidP="00A81AD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At Plumpton College we are:</w:t>
      </w:r>
    </w:p>
    <w:p w14:paraId="463BB508" w14:textId="77777777" w:rsidR="00A81AD2" w:rsidRPr="0021034B" w:rsidRDefault="00A81AD2" w:rsidP="00A81AD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D4890CA" w14:textId="77777777" w:rsidR="0021034B" w:rsidRPr="0021034B" w:rsidRDefault="0021034B" w:rsidP="0021034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Professional</w:t>
      </w:r>
    </w:p>
    <w:p w14:paraId="63E794D5" w14:textId="77777777" w:rsidR="0021034B" w:rsidRPr="0021034B" w:rsidRDefault="0021034B" w:rsidP="0021034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Supportive</w:t>
      </w:r>
    </w:p>
    <w:p w14:paraId="4645AE88" w14:textId="77777777" w:rsidR="0021034B" w:rsidRPr="0021034B" w:rsidRDefault="0021034B" w:rsidP="0021034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Enterprising</w:t>
      </w:r>
    </w:p>
    <w:p w14:paraId="7A457A9C" w14:textId="77777777" w:rsidR="0021034B" w:rsidRPr="0021034B" w:rsidRDefault="0021034B" w:rsidP="0021034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 xml:space="preserve">Passionate </w:t>
      </w:r>
    </w:p>
    <w:p w14:paraId="567D9F64" w14:textId="77777777" w:rsidR="0021034B" w:rsidRPr="0021034B" w:rsidRDefault="0021034B" w:rsidP="0021034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Ambitious and progressive</w:t>
      </w:r>
    </w:p>
    <w:p w14:paraId="219FE456" w14:textId="77777777" w:rsidR="00A81AD2" w:rsidRPr="0021034B" w:rsidRDefault="00A81AD2" w:rsidP="00A81AD2">
      <w:pPr>
        <w:spacing w:after="0" w:line="240" w:lineRule="auto"/>
        <w:contextualSpacing/>
        <w:jc w:val="both"/>
        <w:rPr>
          <w:rFonts w:ascii="Open Sans Light" w:eastAsia="Calibri" w:hAnsi="Open Sans Light" w:cs="Open Sans Light"/>
          <w:sz w:val="20"/>
          <w:szCs w:val="20"/>
        </w:rPr>
      </w:pPr>
    </w:p>
    <w:p w14:paraId="0E076C85" w14:textId="77777777" w:rsidR="006E1D31" w:rsidRPr="0021034B" w:rsidRDefault="006E1D31" w:rsidP="00B26C4A">
      <w:pPr>
        <w:spacing w:after="0" w:line="240" w:lineRule="auto"/>
        <w:contextualSpacing/>
        <w:jc w:val="both"/>
        <w:rPr>
          <w:rFonts w:ascii="Open Sans Light" w:eastAsia="Calibri" w:hAnsi="Open Sans Light" w:cs="Open Sans Light"/>
          <w:b/>
          <w:sz w:val="20"/>
          <w:szCs w:val="20"/>
        </w:rPr>
      </w:pPr>
    </w:p>
    <w:tbl>
      <w:tblPr>
        <w:tblStyle w:val="TableGrid"/>
        <w:tblW w:w="9354" w:type="dxa"/>
        <w:tblLook w:val="04A0" w:firstRow="1" w:lastRow="0" w:firstColumn="1" w:lastColumn="0" w:noHBand="0" w:noVBand="1"/>
      </w:tblPr>
      <w:tblGrid>
        <w:gridCol w:w="9354"/>
      </w:tblGrid>
      <w:tr w:rsidR="00D03817" w:rsidRPr="0021034B" w14:paraId="61531CB7" w14:textId="77777777" w:rsidTr="00CF5B57">
        <w:trPr>
          <w:trHeight w:val="340"/>
        </w:trPr>
        <w:tc>
          <w:tcPr>
            <w:tcW w:w="9354" w:type="dxa"/>
            <w:vAlign w:val="center"/>
          </w:tcPr>
          <w:p w14:paraId="4DDAE369" w14:textId="77777777" w:rsidR="00E66455" w:rsidRPr="0021034B" w:rsidRDefault="00E66455" w:rsidP="00E16896">
            <w:pPr>
              <w:spacing w:line="276" w:lineRule="auto"/>
              <w:rPr>
                <w:rFonts w:ascii="Open Sans Light" w:hAnsi="Open Sans Light" w:cs="Open Sans Light"/>
                <w:b/>
                <w:sz w:val="20"/>
                <w:szCs w:val="20"/>
              </w:rPr>
            </w:pPr>
            <w:r w:rsidRPr="0021034B">
              <w:rPr>
                <w:rFonts w:ascii="Open Sans Light" w:hAnsi="Open Sans Light" w:cs="Open Sans Light"/>
                <w:b/>
                <w:sz w:val="20"/>
                <w:szCs w:val="20"/>
              </w:rPr>
              <w:t>Essential criteria for the post</w:t>
            </w:r>
          </w:p>
        </w:tc>
      </w:tr>
      <w:tr w:rsidR="00D03817" w:rsidRPr="0021034B" w14:paraId="2266A7C6" w14:textId="77777777" w:rsidTr="00CF5B57">
        <w:trPr>
          <w:trHeight w:val="340"/>
        </w:trPr>
        <w:tc>
          <w:tcPr>
            <w:tcW w:w="9354" w:type="dxa"/>
          </w:tcPr>
          <w:p w14:paraId="4C81960F" w14:textId="77777777" w:rsidR="00E1350A" w:rsidRPr="0021034B" w:rsidRDefault="00D621FE"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Degree or Masters level qualification</w:t>
            </w:r>
          </w:p>
        </w:tc>
      </w:tr>
      <w:tr w:rsidR="00D621FE" w:rsidRPr="0021034B" w14:paraId="2CCBF7EC" w14:textId="77777777" w:rsidTr="00CF5B57">
        <w:trPr>
          <w:trHeight w:val="340"/>
        </w:trPr>
        <w:tc>
          <w:tcPr>
            <w:tcW w:w="9354" w:type="dxa"/>
          </w:tcPr>
          <w:p w14:paraId="573F271A" w14:textId="77777777" w:rsidR="00D621FE" w:rsidRPr="0021034B" w:rsidRDefault="00D621FE"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Attention to detail</w:t>
            </w:r>
          </w:p>
        </w:tc>
      </w:tr>
      <w:tr w:rsidR="00D03817" w:rsidRPr="0021034B" w14:paraId="2D6DAD4B" w14:textId="77777777" w:rsidTr="00CF5B57">
        <w:trPr>
          <w:trHeight w:val="340"/>
        </w:trPr>
        <w:tc>
          <w:tcPr>
            <w:tcW w:w="9354" w:type="dxa"/>
          </w:tcPr>
          <w:p w14:paraId="27F2ECA8" w14:textId="77777777" w:rsidR="00E1350A"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Ability to organise workload and priorities in a methodical &amp; systematic way</w:t>
            </w:r>
          </w:p>
        </w:tc>
      </w:tr>
      <w:tr w:rsidR="00FA3CA3" w:rsidRPr="0021034B" w14:paraId="3A0B1074" w14:textId="77777777" w:rsidTr="00CF5B57">
        <w:trPr>
          <w:trHeight w:val="340"/>
        </w:trPr>
        <w:tc>
          <w:tcPr>
            <w:tcW w:w="9354" w:type="dxa"/>
          </w:tcPr>
          <w:p w14:paraId="639DDBED" w14:textId="77777777" w:rsidR="00FA3CA3" w:rsidRPr="0021034B" w:rsidRDefault="00FA3CA3"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Experience working in the higher education sector (or Higher Education in Further Education)</w:t>
            </w:r>
          </w:p>
        </w:tc>
      </w:tr>
      <w:tr w:rsidR="00D03817" w:rsidRPr="0021034B" w14:paraId="1EC5D57D" w14:textId="77777777" w:rsidTr="00CF5B57">
        <w:trPr>
          <w:trHeight w:val="340"/>
        </w:trPr>
        <w:tc>
          <w:tcPr>
            <w:tcW w:w="9354" w:type="dxa"/>
          </w:tcPr>
          <w:p w14:paraId="5583078F" w14:textId="77777777" w:rsidR="007F1E55" w:rsidRPr="0021034B" w:rsidRDefault="007F1E55"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 xml:space="preserve">Experience of educational quality processes including </w:t>
            </w:r>
            <w:r w:rsidR="00D621FE" w:rsidRPr="0021034B">
              <w:rPr>
                <w:rFonts w:ascii="Open Sans Light" w:hAnsi="Open Sans Light" w:cs="Open Sans Light"/>
                <w:sz w:val="20"/>
                <w:szCs w:val="20"/>
              </w:rPr>
              <w:t xml:space="preserve">teaching, </w:t>
            </w:r>
            <w:r w:rsidRPr="0021034B">
              <w:rPr>
                <w:rFonts w:ascii="Open Sans Light" w:hAnsi="Open Sans Light" w:cs="Open Sans Light"/>
                <w:sz w:val="20"/>
                <w:szCs w:val="20"/>
              </w:rPr>
              <w:t>internal verification and student voice</w:t>
            </w:r>
          </w:p>
        </w:tc>
      </w:tr>
      <w:tr w:rsidR="00D03817" w:rsidRPr="0021034B" w14:paraId="4463138A" w14:textId="77777777" w:rsidTr="00CF5B57">
        <w:trPr>
          <w:trHeight w:val="340"/>
        </w:trPr>
        <w:tc>
          <w:tcPr>
            <w:tcW w:w="9354" w:type="dxa"/>
          </w:tcPr>
          <w:p w14:paraId="269BDC67" w14:textId="77777777" w:rsidR="00E1350A"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Experience of implementing policies, procedures, regulations &amp; published guidance</w:t>
            </w:r>
          </w:p>
        </w:tc>
      </w:tr>
      <w:tr w:rsidR="00D03817" w:rsidRPr="0021034B" w14:paraId="7482F4E5" w14:textId="77777777" w:rsidTr="00CF5B57">
        <w:trPr>
          <w:trHeight w:val="340"/>
        </w:trPr>
        <w:tc>
          <w:tcPr>
            <w:tcW w:w="9354" w:type="dxa"/>
          </w:tcPr>
          <w:p w14:paraId="27F170D9" w14:textId="77777777" w:rsidR="00E1350A"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Excellent communication skills through both written and verbal means</w:t>
            </w:r>
          </w:p>
        </w:tc>
      </w:tr>
      <w:tr w:rsidR="00D03817" w:rsidRPr="0021034B" w14:paraId="3245C3AF" w14:textId="77777777" w:rsidTr="00CF5B57">
        <w:trPr>
          <w:trHeight w:val="340"/>
        </w:trPr>
        <w:tc>
          <w:tcPr>
            <w:tcW w:w="9354" w:type="dxa"/>
          </w:tcPr>
          <w:p w14:paraId="5EF9DAA5" w14:textId="77777777" w:rsidR="00E1350A"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High degree of accuracy in data management and information analysis &amp; presentation</w:t>
            </w:r>
          </w:p>
        </w:tc>
      </w:tr>
      <w:tr w:rsidR="00D03817" w:rsidRPr="0021034B" w14:paraId="3A25E9F8" w14:textId="77777777" w:rsidTr="00CF5B57">
        <w:trPr>
          <w:trHeight w:val="340"/>
        </w:trPr>
        <w:tc>
          <w:tcPr>
            <w:tcW w:w="9354" w:type="dxa"/>
          </w:tcPr>
          <w:p w14:paraId="3970DEF3" w14:textId="77777777" w:rsidR="007F1E55" w:rsidRPr="0021034B" w:rsidRDefault="007F1E55"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Experience of conducting and analysing surveys (online/telephone/face to face)</w:t>
            </w:r>
          </w:p>
        </w:tc>
      </w:tr>
      <w:tr w:rsidR="00D03817" w:rsidRPr="0021034B" w14:paraId="6146B0A5" w14:textId="77777777" w:rsidTr="00CF5B57">
        <w:trPr>
          <w:trHeight w:val="340"/>
        </w:trPr>
        <w:tc>
          <w:tcPr>
            <w:tcW w:w="9354" w:type="dxa"/>
          </w:tcPr>
          <w:p w14:paraId="5B8D92D4" w14:textId="77777777" w:rsidR="00E1350A"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Administrative experience, working as a part of a team in a busy office-based environment</w:t>
            </w:r>
          </w:p>
        </w:tc>
      </w:tr>
      <w:tr w:rsidR="00D03817" w:rsidRPr="0021034B" w14:paraId="6FF8D473" w14:textId="77777777" w:rsidTr="00CF5B57">
        <w:trPr>
          <w:trHeight w:val="340"/>
        </w:trPr>
        <w:tc>
          <w:tcPr>
            <w:tcW w:w="9354" w:type="dxa"/>
          </w:tcPr>
          <w:p w14:paraId="6FF39DC7" w14:textId="77777777" w:rsidR="00E1350A" w:rsidRPr="0021034B" w:rsidRDefault="00E57D07" w:rsidP="00AD2A2F">
            <w:pPr>
              <w:spacing w:line="276" w:lineRule="auto"/>
              <w:rPr>
                <w:rFonts w:ascii="Open Sans Light" w:hAnsi="Open Sans Light" w:cs="Open Sans Light"/>
                <w:sz w:val="20"/>
                <w:szCs w:val="20"/>
              </w:rPr>
            </w:pPr>
            <w:r w:rsidRPr="0021034B">
              <w:rPr>
                <w:rFonts w:ascii="Open Sans Light" w:hAnsi="Open Sans Light" w:cs="Open Sans Light"/>
                <w:sz w:val="20"/>
                <w:szCs w:val="20"/>
              </w:rPr>
              <w:t>Ability to work independently and as a part of a team</w:t>
            </w:r>
          </w:p>
        </w:tc>
      </w:tr>
      <w:tr w:rsidR="00D03817" w:rsidRPr="0021034B" w14:paraId="3B2EA4D0" w14:textId="77777777" w:rsidTr="00CF5B57">
        <w:trPr>
          <w:trHeight w:val="340"/>
        </w:trPr>
        <w:tc>
          <w:tcPr>
            <w:tcW w:w="9354" w:type="dxa"/>
          </w:tcPr>
          <w:p w14:paraId="37FB350A" w14:textId="77777777" w:rsidR="00E1350A"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lastRenderedPageBreak/>
              <w:t>A self-motivated, positive and pro-active attitude</w:t>
            </w:r>
          </w:p>
        </w:tc>
      </w:tr>
      <w:tr w:rsidR="00E57D07" w:rsidRPr="0021034B" w14:paraId="44B33FCA" w14:textId="77777777" w:rsidTr="00CF5B57">
        <w:trPr>
          <w:trHeight w:val="340"/>
        </w:trPr>
        <w:tc>
          <w:tcPr>
            <w:tcW w:w="9354" w:type="dxa"/>
          </w:tcPr>
          <w:p w14:paraId="077593C9" w14:textId="77777777" w:rsidR="00E57D07"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Understanding of, and commitment to equal opportunities</w:t>
            </w:r>
          </w:p>
        </w:tc>
      </w:tr>
    </w:tbl>
    <w:p w14:paraId="2BA303F2" w14:textId="77777777" w:rsidR="00E16896" w:rsidRPr="0021034B" w:rsidRDefault="00E16896">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D03817" w:rsidRPr="0021034B" w14:paraId="1F4FE41E" w14:textId="77777777" w:rsidTr="00E16896">
        <w:tc>
          <w:tcPr>
            <w:tcW w:w="9354" w:type="dxa"/>
            <w:vAlign w:val="center"/>
          </w:tcPr>
          <w:p w14:paraId="27DB3368" w14:textId="77777777" w:rsidR="00E66455" w:rsidRPr="0021034B" w:rsidRDefault="00194714" w:rsidP="00E16896">
            <w:pPr>
              <w:spacing w:line="276" w:lineRule="auto"/>
              <w:rPr>
                <w:rFonts w:ascii="Open Sans Light" w:hAnsi="Open Sans Light" w:cs="Open Sans Light"/>
                <w:b/>
                <w:sz w:val="20"/>
                <w:szCs w:val="20"/>
              </w:rPr>
            </w:pPr>
            <w:r w:rsidRPr="0021034B">
              <w:rPr>
                <w:rFonts w:ascii="Open Sans Light" w:hAnsi="Open Sans Light" w:cs="Open Sans Light"/>
                <w:b/>
                <w:sz w:val="20"/>
                <w:szCs w:val="20"/>
              </w:rPr>
              <w:t>Desirable c</w:t>
            </w:r>
            <w:r w:rsidR="00E66455" w:rsidRPr="0021034B">
              <w:rPr>
                <w:rFonts w:ascii="Open Sans Light" w:hAnsi="Open Sans Light" w:cs="Open Sans Light"/>
                <w:b/>
                <w:sz w:val="20"/>
                <w:szCs w:val="20"/>
              </w:rPr>
              <w:t>riteria</w:t>
            </w:r>
          </w:p>
        </w:tc>
      </w:tr>
      <w:tr w:rsidR="00D03817" w:rsidRPr="0021034B" w14:paraId="2A6167B9" w14:textId="77777777" w:rsidTr="00E16896">
        <w:tc>
          <w:tcPr>
            <w:tcW w:w="9354" w:type="dxa"/>
            <w:vAlign w:val="center"/>
          </w:tcPr>
          <w:p w14:paraId="56EF0360" w14:textId="77777777" w:rsidR="00B670E2" w:rsidRPr="0021034B" w:rsidRDefault="00250C58" w:rsidP="003E69A4">
            <w:pPr>
              <w:spacing w:line="276" w:lineRule="auto"/>
              <w:rPr>
                <w:rFonts w:ascii="Open Sans Light" w:hAnsi="Open Sans Light" w:cs="Open Sans Light"/>
                <w:b/>
                <w:sz w:val="20"/>
                <w:szCs w:val="20"/>
              </w:rPr>
            </w:pPr>
            <w:r w:rsidRPr="0021034B">
              <w:rPr>
                <w:rFonts w:ascii="Open Sans Light" w:hAnsi="Open Sans Light" w:cs="Open Sans Light"/>
                <w:sz w:val="20"/>
                <w:szCs w:val="20"/>
              </w:rPr>
              <w:t xml:space="preserve">Experience of </w:t>
            </w:r>
            <w:r w:rsidR="003E69A4" w:rsidRPr="0021034B">
              <w:rPr>
                <w:rFonts w:ascii="Open Sans Light" w:hAnsi="Open Sans Light" w:cs="Open Sans Light"/>
                <w:sz w:val="20"/>
                <w:szCs w:val="20"/>
              </w:rPr>
              <w:t>online learning environments</w:t>
            </w:r>
          </w:p>
        </w:tc>
      </w:tr>
      <w:tr w:rsidR="00D03817" w:rsidRPr="0021034B" w14:paraId="0306D35E" w14:textId="77777777" w:rsidTr="00E16896">
        <w:tc>
          <w:tcPr>
            <w:tcW w:w="9354" w:type="dxa"/>
            <w:vAlign w:val="center"/>
          </w:tcPr>
          <w:p w14:paraId="75D4E29F" w14:textId="77777777" w:rsidR="00B670E2" w:rsidRPr="0021034B" w:rsidRDefault="00A91159" w:rsidP="003E69A4">
            <w:pPr>
              <w:spacing w:line="276" w:lineRule="auto"/>
              <w:rPr>
                <w:rFonts w:ascii="Open Sans Light" w:hAnsi="Open Sans Light" w:cs="Open Sans Light"/>
                <w:b/>
                <w:sz w:val="20"/>
                <w:szCs w:val="20"/>
              </w:rPr>
            </w:pPr>
            <w:r w:rsidRPr="0021034B">
              <w:rPr>
                <w:rFonts w:ascii="Open Sans Light" w:hAnsi="Open Sans Light" w:cs="Open Sans Light"/>
                <w:sz w:val="20"/>
                <w:szCs w:val="20"/>
              </w:rPr>
              <w:t xml:space="preserve">Experience of </w:t>
            </w:r>
            <w:r w:rsidR="00AD2A2F" w:rsidRPr="0021034B">
              <w:rPr>
                <w:rFonts w:ascii="Open Sans Light" w:hAnsi="Open Sans Light" w:cs="Open Sans Light"/>
                <w:sz w:val="20"/>
                <w:szCs w:val="20"/>
              </w:rPr>
              <w:t>student records-based systems</w:t>
            </w:r>
          </w:p>
        </w:tc>
      </w:tr>
      <w:tr w:rsidR="00E57D07" w:rsidRPr="0021034B" w14:paraId="4698E7A0" w14:textId="77777777" w:rsidTr="00E60BB1">
        <w:trPr>
          <w:trHeight w:val="70"/>
        </w:trPr>
        <w:tc>
          <w:tcPr>
            <w:tcW w:w="9354" w:type="dxa"/>
            <w:vAlign w:val="center"/>
          </w:tcPr>
          <w:p w14:paraId="37E77C50" w14:textId="77777777" w:rsidR="00E57D07" w:rsidRPr="0021034B" w:rsidRDefault="00E57D07"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Project management experience</w:t>
            </w:r>
          </w:p>
        </w:tc>
      </w:tr>
      <w:tr w:rsidR="00D621FE" w:rsidRPr="0021034B" w14:paraId="1782C6A8" w14:textId="77777777" w:rsidTr="00E60BB1">
        <w:trPr>
          <w:trHeight w:val="70"/>
        </w:trPr>
        <w:tc>
          <w:tcPr>
            <w:tcW w:w="9354" w:type="dxa"/>
            <w:vAlign w:val="center"/>
          </w:tcPr>
          <w:p w14:paraId="72FAB871" w14:textId="77777777" w:rsidR="00D621FE" w:rsidRPr="0021034B" w:rsidRDefault="00D621FE" w:rsidP="00E16896">
            <w:pPr>
              <w:spacing w:line="276" w:lineRule="auto"/>
              <w:rPr>
                <w:rFonts w:ascii="Open Sans Light" w:hAnsi="Open Sans Light" w:cs="Open Sans Light"/>
                <w:sz w:val="20"/>
                <w:szCs w:val="20"/>
              </w:rPr>
            </w:pPr>
            <w:r w:rsidRPr="0021034B">
              <w:rPr>
                <w:rFonts w:ascii="Open Sans Light" w:hAnsi="Open Sans Light" w:cs="Open Sans Light"/>
                <w:sz w:val="20"/>
                <w:szCs w:val="20"/>
              </w:rPr>
              <w:t>Experience line managing people</w:t>
            </w:r>
          </w:p>
        </w:tc>
      </w:tr>
    </w:tbl>
    <w:p w14:paraId="0F0BDB66" w14:textId="77777777" w:rsidR="006E1D31" w:rsidRPr="0021034B" w:rsidRDefault="006E1D31" w:rsidP="00B26C4A">
      <w:pPr>
        <w:spacing w:after="0" w:line="240" w:lineRule="auto"/>
        <w:contextualSpacing/>
        <w:jc w:val="both"/>
        <w:rPr>
          <w:rFonts w:ascii="Open Sans Light" w:eastAsia="Calibri" w:hAnsi="Open Sans Light" w:cs="Open Sans Light"/>
          <w:b/>
          <w:sz w:val="20"/>
          <w:szCs w:val="20"/>
        </w:rPr>
      </w:pPr>
    </w:p>
    <w:p w14:paraId="11DCD024" w14:textId="77777777" w:rsidR="003717FE" w:rsidRPr="0021034B" w:rsidRDefault="003717FE" w:rsidP="003717FE">
      <w:pPr>
        <w:tabs>
          <w:tab w:val="left" w:pos="-720"/>
          <w:tab w:val="left" w:pos="0"/>
        </w:tabs>
        <w:spacing w:after="0" w:line="240" w:lineRule="auto"/>
        <w:jc w:val="both"/>
        <w:rPr>
          <w:rFonts w:ascii="Open Sans Light" w:eastAsia="Calibri" w:hAnsi="Open Sans Light" w:cs="Open Sans Light"/>
          <w:sz w:val="20"/>
          <w:szCs w:val="20"/>
        </w:rPr>
      </w:pPr>
      <w:bookmarkStart w:id="0" w:name="_GoBack"/>
      <w:bookmarkEnd w:id="0"/>
      <w:r w:rsidRPr="0021034B">
        <w:rPr>
          <w:rFonts w:ascii="Open Sans Light" w:eastAsia="Calibri" w:hAnsi="Open Sans Light" w:cs="Open Sans Light"/>
          <w:b/>
          <w:sz w:val="20"/>
          <w:szCs w:val="20"/>
        </w:rPr>
        <w:t>CONDITIONS OF EMPLOYMENT</w:t>
      </w:r>
    </w:p>
    <w:p w14:paraId="5F29B703" w14:textId="77777777" w:rsidR="003717FE" w:rsidRPr="0021034B" w:rsidRDefault="003717FE" w:rsidP="003717FE">
      <w:pPr>
        <w:spacing w:after="0" w:line="240" w:lineRule="auto"/>
        <w:contextualSpacing/>
        <w:jc w:val="both"/>
        <w:rPr>
          <w:rFonts w:ascii="Open Sans Light" w:eastAsia="Times New Roman" w:hAnsi="Open Sans Light" w:cs="Open Sans Light"/>
          <w:sz w:val="20"/>
          <w:szCs w:val="20"/>
          <w:u w:val="single"/>
        </w:rPr>
      </w:pPr>
    </w:p>
    <w:p w14:paraId="5E5EE84C" w14:textId="77777777" w:rsidR="003717FE" w:rsidRPr="0021034B"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1034B">
        <w:rPr>
          <w:rFonts w:ascii="Open Sans Light" w:eastAsia="Calibri" w:hAnsi="Open Sans Light" w:cs="Open Sans Light"/>
          <w:b/>
          <w:bCs/>
          <w:sz w:val="20"/>
          <w:szCs w:val="20"/>
        </w:rPr>
        <w:t>Working Hours</w:t>
      </w:r>
    </w:p>
    <w:p w14:paraId="7A028F43" w14:textId="77777777" w:rsidR="003717FE" w:rsidRPr="0021034B" w:rsidRDefault="003717FE" w:rsidP="003717FE">
      <w:pPr>
        <w:spacing w:after="0" w:line="240" w:lineRule="auto"/>
        <w:contextualSpacing/>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Basic working hours ar</w:t>
      </w:r>
      <w:r w:rsidR="00C555C0" w:rsidRPr="0021034B">
        <w:rPr>
          <w:rFonts w:ascii="Open Sans Light" w:eastAsia="Times New Roman" w:hAnsi="Open Sans Light" w:cs="Open Sans Light"/>
          <w:sz w:val="20"/>
          <w:szCs w:val="20"/>
        </w:rPr>
        <w:t>e from 08.30</w:t>
      </w:r>
      <w:r w:rsidR="00AD2A2F" w:rsidRPr="0021034B">
        <w:rPr>
          <w:rFonts w:ascii="Open Sans Light" w:eastAsia="Times New Roman" w:hAnsi="Open Sans Light" w:cs="Open Sans Light"/>
          <w:sz w:val="20"/>
          <w:szCs w:val="20"/>
        </w:rPr>
        <w:t xml:space="preserve"> -</w:t>
      </w:r>
      <w:r w:rsidR="00C555C0" w:rsidRPr="0021034B">
        <w:rPr>
          <w:rFonts w:ascii="Open Sans Light" w:eastAsia="Times New Roman" w:hAnsi="Open Sans Light" w:cs="Open Sans Light"/>
          <w:sz w:val="20"/>
          <w:szCs w:val="20"/>
        </w:rPr>
        <w:t xml:space="preserve"> 17.00</w:t>
      </w:r>
      <w:r w:rsidR="00AD2A2F" w:rsidRPr="0021034B">
        <w:rPr>
          <w:rFonts w:ascii="Open Sans Light" w:eastAsia="Times New Roman" w:hAnsi="Open Sans Light" w:cs="Open Sans Light"/>
          <w:sz w:val="20"/>
          <w:szCs w:val="20"/>
        </w:rPr>
        <w:t>hrs,</w:t>
      </w:r>
      <w:r w:rsidRPr="0021034B">
        <w:rPr>
          <w:rFonts w:ascii="Open Sans Light" w:eastAsia="Times New Roman" w:hAnsi="Open Sans Light" w:cs="Open Sans Light"/>
          <w:sz w:val="20"/>
          <w:szCs w:val="20"/>
        </w:rPr>
        <w:t xml:space="preserve"> Monday to Friday but some flexibility will be required to meet the needs of the business. This is an all </w:t>
      </w:r>
      <w:proofErr w:type="gramStart"/>
      <w:r w:rsidRPr="0021034B">
        <w:rPr>
          <w:rFonts w:ascii="Open Sans Light" w:eastAsia="Times New Roman" w:hAnsi="Open Sans Light" w:cs="Open Sans Light"/>
          <w:sz w:val="20"/>
          <w:szCs w:val="20"/>
        </w:rPr>
        <w:t>year round</w:t>
      </w:r>
      <w:proofErr w:type="gramEnd"/>
      <w:r w:rsidRPr="0021034B">
        <w:rPr>
          <w:rFonts w:ascii="Open Sans Light" w:eastAsia="Times New Roman" w:hAnsi="Open Sans Light" w:cs="Open Sans Light"/>
          <w:sz w:val="20"/>
          <w:szCs w:val="20"/>
        </w:rPr>
        <w:t xml:space="preserve"> post. There will be some evening and weekend working required to support </w:t>
      </w:r>
      <w:r w:rsidR="002D4FBF" w:rsidRPr="0021034B">
        <w:rPr>
          <w:rFonts w:ascii="Open Sans Light" w:eastAsia="Times New Roman" w:hAnsi="Open Sans Light" w:cs="Open Sans Light"/>
          <w:sz w:val="20"/>
          <w:szCs w:val="20"/>
        </w:rPr>
        <w:t>departmental</w:t>
      </w:r>
      <w:r w:rsidR="00C555C0" w:rsidRPr="0021034B">
        <w:rPr>
          <w:rFonts w:ascii="Open Sans Light" w:eastAsia="Times New Roman" w:hAnsi="Open Sans Light" w:cs="Open Sans Light"/>
          <w:sz w:val="20"/>
          <w:szCs w:val="20"/>
        </w:rPr>
        <w:t xml:space="preserve"> activities, and whole c</w:t>
      </w:r>
      <w:r w:rsidRPr="0021034B">
        <w:rPr>
          <w:rFonts w:ascii="Open Sans Light" w:eastAsia="Times New Roman" w:hAnsi="Open Sans Light" w:cs="Open Sans Light"/>
          <w:sz w:val="20"/>
          <w:szCs w:val="20"/>
        </w:rPr>
        <w:t>ollege recruitment and promotional events.</w:t>
      </w:r>
    </w:p>
    <w:p w14:paraId="4F3EED82" w14:textId="77777777" w:rsidR="003717FE" w:rsidRPr="0021034B" w:rsidRDefault="003717FE" w:rsidP="003717FE">
      <w:pPr>
        <w:tabs>
          <w:tab w:val="left" w:pos="-720"/>
          <w:tab w:val="left" w:pos="0"/>
          <w:tab w:val="left" w:pos="720"/>
        </w:tabs>
        <w:spacing w:after="0" w:line="240" w:lineRule="auto"/>
        <w:jc w:val="both"/>
        <w:rPr>
          <w:rFonts w:ascii="Open Sans Light" w:eastAsia="Calibri" w:hAnsi="Open Sans Light" w:cs="Open Sans Light"/>
          <w:sz w:val="20"/>
          <w:szCs w:val="20"/>
        </w:rPr>
      </w:pPr>
    </w:p>
    <w:p w14:paraId="3C2A6AEB" w14:textId="77777777" w:rsidR="004551DA" w:rsidRPr="0021034B" w:rsidRDefault="004551DA" w:rsidP="004551D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1034B">
        <w:rPr>
          <w:rFonts w:ascii="Open Sans Light" w:eastAsia="Calibri" w:hAnsi="Open Sans Light" w:cs="Open Sans Light"/>
          <w:b/>
          <w:bCs/>
          <w:sz w:val="20"/>
          <w:szCs w:val="20"/>
        </w:rPr>
        <w:t>Annual Leave</w:t>
      </w:r>
    </w:p>
    <w:p w14:paraId="42549948" w14:textId="2C58AEBF" w:rsidR="004551DA" w:rsidRPr="0021034B" w:rsidRDefault="004551DA" w:rsidP="004551DA">
      <w:pPr>
        <w:pStyle w:val="ListParagraph"/>
        <w:ind w:left="0"/>
        <w:rPr>
          <w:rFonts w:ascii="Open Sans Light" w:hAnsi="Open Sans Light" w:cs="Open Sans Light"/>
          <w:sz w:val="20"/>
        </w:rPr>
      </w:pPr>
      <w:r w:rsidRPr="0021034B">
        <w:rPr>
          <w:rFonts w:ascii="Open Sans Light" w:hAnsi="Open Sans Light" w:cs="Open Sans Light"/>
          <w:sz w:val="20"/>
        </w:rPr>
        <w:t xml:space="preserve">The holiday year is from 1 September - 31 August each year.  The annual leave entitlement for this role is </w:t>
      </w:r>
      <w:r w:rsidR="00892987" w:rsidRPr="0021034B">
        <w:rPr>
          <w:rFonts w:ascii="Open Sans Light" w:hAnsi="Open Sans Light" w:cs="Open Sans Light"/>
          <w:sz w:val="20"/>
        </w:rPr>
        <w:t>26</w:t>
      </w:r>
      <w:r w:rsidRPr="0021034B">
        <w:rPr>
          <w:rFonts w:ascii="Open Sans Light" w:hAnsi="Open Sans Light" w:cs="Open Sans Light"/>
          <w:sz w:val="20"/>
        </w:rPr>
        <w:t xml:space="preserve"> working days</w:t>
      </w:r>
      <w:r w:rsidR="00AD2A2F" w:rsidRPr="0021034B">
        <w:rPr>
          <w:rFonts w:ascii="Open Sans Light" w:hAnsi="Open Sans Light" w:cs="Open Sans Light"/>
          <w:sz w:val="20"/>
        </w:rPr>
        <w:t xml:space="preserve"> </w:t>
      </w:r>
      <w:r w:rsidRPr="0021034B">
        <w:rPr>
          <w:rFonts w:ascii="Open Sans Light" w:hAnsi="Open Sans Light" w:cs="Open Sans Light"/>
          <w:sz w:val="20"/>
        </w:rPr>
        <w:t xml:space="preserve">plus 8 bank holidays and up to 5 efficiency days when the college closes at Christmas.  Annual leave is bookable subject to business needs and should be planned and agreed with your Line Manager. Annual leave </w:t>
      </w:r>
      <w:r w:rsidR="00D621FE" w:rsidRPr="0021034B">
        <w:rPr>
          <w:rFonts w:ascii="Open Sans Light" w:hAnsi="Open Sans Light" w:cs="Open Sans Light"/>
          <w:sz w:val="20"/>
        </w:rPr>
        <w:t>entitlement</w:t>
      </w:r>
      <w:r w:rsidRPr="0021034B">
        <w:rPr>
          <w:rFonts w:ascii="Open Sans Light" w:hAnsi="Open Sans Light" w:cs="Open Sans Light"/>
          <w:sz w:val="20"/>
        </w:rPr>
        <w:t xml:space="preserve"> will be available from the start of th</w:t>
      </w:r>
      <w:r w:rsidR="00723DE0" w:rsidRPr="0021034B">
        <w:rPr>
          <w:rFonts w:ascii="Open Sans Light" w:hAnsi="Open Sans Light" w:cs="Open Sans Light"/>
          <w:sz w:val="20"/>
        </w:rPr>
        <w:t>e new holiday year</w:t>
      </w:r>
      <w:r w:rsidRPr="0021034B">
        <w:rPr>
          <w:rFonts w:ascii="Open Sans Light" w:hAnsi="Open Sans Light" w:cs="Open Sans Light"/>
          <w:sz w:val="20"/>
        </w:rPr>
        <w:t>.</w:t>
      </w:r>
    </w:p>
    <w:p w14:paraId="428925D0" w14:textId="77777777" w:rsidR="004551DA" w:rsidRPr="0021034B" w:rsidRDefault="004551DA" w:rsidP="004551DA">
      <w:pPr>
        <w:pStyle w:val="ListParagraph"/>
        <w:ind w:left="0"/>
        <w:rPr>
          <w:rFonts w:ascii="Open Sans Light" w:hAnsi="Open Sans Light" w:cs="Open Sans Light"/>
          <w:sz w:val="20"/>
        </w:rPr>
      </w:pPr>
    </w:p>
    <w:p w14:paraId="227C816B" w14:textId="77777777" w:rsidR="004551DA" w:rsidRPr="0021034B" w:rsidRDefault="004551DA" w:rsidP="004551D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1034B">
        <w:rPr>
          <w:rFonts w:ascii="Open Sans Light" w:hAnsi="Open Sans Light" w:cs="Open Sans Light"/>
          <w:b/>
          <w:bCs/>
          <w:sz w:val="20"/>
          <w:szCs w:val="20"/>
        </w:rPr>
        <w:t>Continuous Professional Development (CPD)</w:t>
      </w:r>
    </w:p>
    <w:p w14:paraId="1D7DAC15" w14:textId="77777777" w:rsidR="004551DA" w:rsidRPr="0021034B" w:rsidRDefault="004551DA" w:rsidP="004551DA">
      <w:pPr>
        <w:pStyle w:val="BodyText"/>
        <w:jc w:val="left"/>
        <w:rPr>
          <w:rFonts w:ascii="Open Sans Light" w:hAnsi="Open Sans Light" w:cs="Open Sans Light"/>
          <w:sz w:val="20"/>
        </w:rPr>
      </w:pPr>
      <w:r w:rsidRPr="0021034B">
        <w:rPr>
          <w:rFonts w:ascii="Open Sans Light" w:hAnsi="Open Sans Light" w:cs="Open Sans Light"/>
          <w:sz w:val="20"/>
        </w:rPr>
        <w:t xml:space="preserve">This post will be entitled to CPD for </w:t>
      </w:r>
      <w:r w:rsidR="002D4FBF" w:rsidRPr="0021034B">
        <w:rPr>
          <w:rFonts w:ascii="Open Sans Light" w:hAnsi="Open Sans Light" w:cs="Open Sans Light"/>
          <w:sz w:val="20"/>
        </w:rPr>
        <w:t xml:space="preserve">skills </w:t>
      </w:r>
      <w:r w:rsidRPr="0021034B">
        <w:rPr>
          <w:rFonts w:ascii="Open Sans Light" w:hAnsi="Open Sans Light" w:cs="Open Sans Light"/>
          <w:sz w:val="20"/>
        </w:rPr>
        <w:t xml:space="preserve">updating, personal and professional development.  All CPD must be planned, agreed and booked with your Line Manager.  </w:t>
      </w:r>
    </w:p>
    <w:p w14:paraId="793F5CAB" w14:textId="77777777" w:rsidR="003717FE" w:rsidRPr="0021034B" w:rsidRDefault="003717FE" w:rsidP="003717FE">
      <w:pPr>
        <w:spacing w:after="0" w:line="240" w:lineRule="auto"/>
        <w:jc w:val="both"/>
        <w:rPr>
          <w:rFonts w:ascii="Open Sans Light" w:eastAsia="Times New Roman" w:hAnsi="Open Sans Light" w:cs="Open Sans Light"/>
          <w:sz w:val="20"/>
          <w:szCs w:val="20"/>
        </w:rPr>
      </w:pPr>
    </w:p>
    <w:p w14:paraId="0ED3116C" w14:textId="77777777" w:rsidR="003717FE" w:rsidRPr="0021034B"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1034B">
        <w:rPr>
          <w:rFonts w:ascii="Open Sans Light" w:eastAsia="Calibri" w:hAnsi="Open Sans Light" w:cs="Open Sans Light"/>
          <w:b/>
          <w:bCs/>
          <w:sz w:val="20"/>
          <w:szCs w:val="20"/>
        </w:rPr>
        <w:t>Benefits</w:t>
      </w:r>
    </w:p>
    <w:p w14:paraId="5250151B" w14:textId="5F803565" w:rsidR="003717FE" w:rsidRPr="0021034B" w:rsidRDefault="003717FE" w:rsidP="003717FE">
      <w:pPr>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 xml:space="preserve">The candidate appointed to the post will automatically become a member of the </w:t>
      </w:r>
      <w:r w:rsidR="002D4FBF" w:rsidRPr="0021034B">
        <w:rPr>
          <w:rFonts w:ascii="Open Sans Light" w:eastAsia="Times New Roman" w:hAnsi="Open Sans Light" w:cs="Open Sans Light"/>
          <w:sz w:val="20"/>
          <w:szCs w:val="20"/>
        </w:rPr>
        <w:t>Local Government Pension</w:t>
      </w:r>
      <w:r w:rsidRPr="0021034B">
        <w:rPr>
          <w:rFonts w:ascii="Open Sans Light" w:eastAsia="Times New Roman" w:hAnsi="Open Sans Light" w:cs="Open Sans Light"/>
          <w:sz w:val="20"/>
          <w:szCs w:val="20"/>
        </w:rPr>
        <w:t xml:space="preserve"> Scheme and pay contributions as deter</w:t>
      </w:r>
      <w:r w:rsidR="001B1597" w:rsidRPr="0021034B">
        <w:rPr>
          <w:rFonts w:ascii="Open Sans Light" w:eastAsia="Times New Roman" w:hAnsi="Open Sans Light" w:cs="Open Sans Light"/>
          <w:sz w:val="20"/>
          <w:szCs w:val="20"/>
        </w:rPr>
        <w:t xml:space="preserve">mined by annual salary levels. </w:t>
      </w:r>
      <w:r w:rsidRPr="0021034B">
        <w:rPr>
          <w:rFonts w:ascii="Open Sans Light" w:eastAsia="Times New Roman" w:hAnsi="Open Sans Light" w:cs="Open Sans Light"/>
          <w:sz w:val="20"/>
          <w:szCs w:val="20"/>
        </w:rPr>
        <w:t xml:space="preserve">The pension scheme includes life assurance cover, and the College will also pay a contribution towards your pension. </w:t>
      </w:r>
      <w:r w:rsidR="0021034B" w:rsidRPr="0021034B">
        <w:rPr>
          <w:rFonts w:ascii="Open Sans Light" w:eastAsia="Times New Roman" w:hAnsi="Open Sans Light" w:cs="Open Sans Light"/>
          <w:sz w:val="20"/>
          <w:szCs w:val="20"/>
        </w:rPr>
        <w:t>Employees also have access to the Employee Assistance Programme, Cycle to Work Scheme, free on-site gym and staff discounts.</w:t>
      </w:r>
    </w:p>
    <w:p w14:paraId="6546817A" w14:textId="77777777" w:rsidR="003717FE" w:rsidRPr="0021034B" w:rsidRDefault="003717FE" w:rsidP="003717FE">
      <w:pPr>
        <w:spacing w:after="0" w:line="240" w:lineRule="auto"/>
        <w:contextualSpacing/>
        <w:jc w:val="both"/>
        <w:rPr>
          <w:rFonts w:ascii="Open Sans Light" w:eastAsia="Times New Roman" w:hAnsi="Open Sans Light" w:cs="Open Sans Light"/>
          <w:sz w:val="20"/>
          <w:szCs w:val="20"/>
          <w:u w:val="single"/>
        </w:rPr>
      </w:pPr>
    </w:p>
    <w:p w14:paraId="5CE208E6" w14:textId="77777777" w:rsidR="003717FE" w:rsidRPr="0021034B"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1034B">
        <w:rPr>
          <w:rFonts w:ascii="Open Sans Light" w:eastAsia="Calibri" w:hAnsi="Open Sans Light" w:cs="Open Sans Light"/>
          <w:b/>
          <w:bCs/>
          <w:sz w:val="20"/>
          <w:szCs w:val="20"/>
        </w:rPr>
        <w:t>Equality and Diversity</w:t>
      </w:r>
    </w:p>
    <w:p w14:paraId="667C48C1"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Plumpton College is committed to the promotion of equal opportunities and is dedicated to pursuing non-discriminatory policie</w:t>
      </w:r>
      <w:r w:rsidR="000A4CEF" w:rsidRPr="0021034B">
        <w:rPr>
          <w:rFonts w:ascii="Open Sans Light" w:eastAsia="Times New Roman" w:hAnsi="Open Sans Light" w:cs="Open Sans Light"/>
          <w:sz w:val="20"/>
          <w:szCs w:val="20"/>
        </w:rPr>
        <w:t>s and practices and eliminating</w:t>
      </w:r>
      <w:r w:rsidRPr="0021034B">
        <w:rPr>
          <w:rFonts w:ascii="Open Sans Light" w:eastAsia="Times New Roman" w:hAnsi="Open Sans Light" w:cs="Open Sans Light"/>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8FFEEDA" w14:textId="77777777" w:rsidR="003717FE" w:rsidRPr="0021034B" w:rsidRDefault="003717FE" w:rsidP="003717FE">
      <w:pPr>
        <w:tabs>
          <w:tab w:val="left" w:pos="-720"/>
          <w:tab w:val="left" w:pos="0"/>
          <w:tab w:val="left" w:pos="720"/>
        </w:tabs>
        <w:spacing w:after="0" w:line="240" w:lineRule="auto"/>
        <w:rPr>
          <w:rFonts w:ascii="Open Sans Light" w:eastAsia="Calibri" w:hAnsi="Open Sans Light" w:cs="Open Sans Light"/>
          <w:b/>
          <w:bCs/>
          <w:sz w:val="20"/>
          <w:szCs w:val="20"/>
        </w:rPr>
      </w:pPr>
    </w:p>
    <w:p w14:paraId="1D7AF9C3" w14:textId="77777777" w:rsidR="003717FE" w:rsidRPr="0021034B"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1034B">
        <w:rPr>
          <w:rFonts w:ascii="Open Sans Light" w:eastAsia="Calibri" w:hAnsi="Open Sans Light" w:cs="Open Sans Light"/>
          <w:b/>
          <w:bCs/>
          <w:sz w:val="20"/>
          <w:szCs w:val="20"/>
        </w:rPr>
        <w:t>Criminal Record Check via the Disclosure Procedure</w:t>
      </w:r>
    </w:p>
    <w:p w14:paraId="11CC7C25"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CC343CC"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1A0CD755"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The post you have applied for falls into this category and, therefore, requires a criminal background check.</w:t>
      </w:r>
    </w:p>
    <w:p w14:paraId="79AD92D8"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12E766CD"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lastRenderedPageBreak/>
        <w:t>If a job offer is made</w:t>
      </w:r>
      <w:r w:rsidR="000A4CEF" w:rsidRPr="0021034B">
        <w:rPr>
          <w:rFonts w:ascii="Open Sans Light" w:eastAsia="Times New Roman" w:hAnsi="Open Sans Light" w:cs="Open Sans Light"/>
          <w:sz w:val="20"/>
          <w:szCs w:val="20"/>
        </w:rPr>
        <w:t>,</w:t>
      </w:r>
      <w:r w:rsidRPr="0021034B">
        <w:rPr>
          <w:rFonts w:ascii="Open Sans Light" w:eastAsia="Times New Roman" w:hAnsi="Open Sans Light" w:cs="Open Sans Light"/>
          <w:sz w:val="20"/>
          <w:szCs w:val="20"/>
        </w:rPr>
        <w:t xml:space="preserve"> you will be asked to apply for</w:t>
      </w:r>
      <w:r w:rsidR="000A4CEF" w:rsidRPr="0021034B">
        <w:rPr>
          <w:rFonts w:ascii="Open Sans Light" w:eastAsia="Times New Roman" w:hAnsi="Open Sans Light" w:cs="Open Sans Light"/>
          <w:sz w:val="20"/>
          <w:szCs w:val="20"/>
        </w:rPr>
        <w:t xml:space="preserve"> a DBS Disclosure Certificate. </w:t>
      </w:r>
      <w:r w:rsidRPr="0021034B">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525F838A"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35462065"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E55A5AC" w14:textId="77777777" w:rsidR="003717FE" w:rsidRPr="0021034B"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14:paraId="16C18F4E" w14:textId="77777777" w:rsidR="00B26C4A" w:rsidRPr="0021034B" w:rsidRDefault="003717FE" w:rsidP="00244871">
      <w:pPr>
        <w:tabs>
          <w:tab w:val="left" w:pos="-720"/>
          <w:tab w:val="left" w:pos="0"/>
          <w:tab w:val="left" w:pos="720"/>
        </w:tabs>
        <w:spacing w:after="0" w:line="240" w:lineRule="auto"/>
        <w:rPr>
          <w:rFonts w:ascii="Open Sans Light" w:eastAsia="Times New Roman" w:hAnsi="Open Sans Light" w:cs="Open Sans Light"/>
          <w:sz w:val="20"/>
          <w:szCs w:val="20"/>
        </w:rPr>
      </w:pPr>
      <w:r w:rsidRPr="0021034B">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B26C4A" w:rsidRPr="0021034B" w:rsidSect="00BC2ECC">
      <w:headerReference w:type="default" r:id="rId11"/>
      <w:footerReference w:type="default" r:id="rId12"/>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9AFA" w14:textId="77777777" w:rsidR="009A40E9" w:rsidRDefault="009A40E9" w:rsidP="00ED0047">
      <w:pPr>
        <w:spacing w:after="0" w:line="240" w:lineRule="auto"/>
      </w:pPr>
      <w:r>
        <w:separator/>
      </w:r>
    </w:p>
  </w:endnote>
  <w:endnote w:type="continuationSeparator" w:id="0">
    <w:p w14:paraId="1C5B200C" w14:textId="77777777" w:rsidR="009A40E9" w:rsidRDefault="009A40E9"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4D54" w14:textId="77777777" w:rsidR="00C74DC0" w:rsidRPr="00075D65" w:rsidRDefault="00CD59EA">
    <w:pPr>
      <w:pStyle w:val="Footer"/>
      <w:rPr>
        <w:rFonts w:ascii="Arial" w:hAnsi="Arial" w:cs="Arial"/>
      </w:rPr>
    </w:pPr>
    <w:r>
      <w:rPr>
        <w:rFonts w:ascii="Arial" w:hAnsi="Arial" w:cs="Arial"/>
        <w:lang w:val="en-US"/>
      </w:rPr>
      <w:t xml:space="preserve">HE </w:t>
    </w:r>
    <w:r w:rsidR="00A9131B">
      <w:rPr>
        <w:rFonts w:ascii="Arial" w:hAnsi="Arial" w:cs="Arial"/>
        <w:lang w:val="en-US"/>
      </w:rPr>
      <w:t>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9C7E" w14:textId="77777777" w:rsidR="009A40E9" w:rsidRDefault="009A40E9" w:rsidP="00ED0047">
      <w:pPr>
        <w:spacing w:after="0" w:line="240" w:lineRule="auto"/>
      </w:pPr>
      <w:r>
        <w:separator/>
      </w:r>
    </w:p>
  </w:footnote>
  <w:footnote w:type="continuationSeparator" w:id="0">
    <w:p w14:paraId="4053601A" w14:textId="77777777" w:rsidR="009A40E9" w:rsidRDefault="009A40E9"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AD2A2F" w14:paraId="6900F454" w14:textId="77777777" w:rsidTr="00AD2A2F">
      <w:tc>
        <w:tcPr>
          <w:tcW w:w="3115" w:type="dxa"/>
        </w:tcPr>
        <w:p w14:paraId="02A7AD33" w14:textId="77777777" w:rsidR="00AD2A2F" w:rsidRDefault="00AD2A2F" w:rsidP="004E1FD7">
          <w:pPr>
            <w:pStyle w:val="Header"/>
            <w:rPr>
              <w:rFonts w:ascii="Arial" w:hAnsi="Arial" w:cs="Arial"/>
            </w:rPr>
          </w:pPr>
          <w:r>
            <w:rPr>
              <w:rFonts w:ascii="Arial" w:hAnsi="Arial" w:cs="Arial"/>
            </w:rPr>
            <w:t>Date Issued:</w:t>
          </w:r>
          <w:r w:rsidR="00A9131B">
            <w:rPr>
              <w:rFonts w:ascii="Arial" w:hAnsi="Arial" w:cs="Arial"/>
            </w:rPr>
            <w:t xml:space="preserve"> </w:t>
          </w:r>
          <w:r w:rsidR="004D1358">
            <w:rPr>
              <w:rFonts w:ascii="Arial" w:hAnsi="Arial" w:cs="Arial"/>
            </w:rPr>
            <w:t>Nov 21</w:t>
          </w:r>
        </w:p>
      </w:tc>
      <w:tc>
        <w:tcPr>
          <w:tcW w:w="3115" w:type="dxa"/>
        </w:tcPr>
        <w:p w14:paraId="75AC32A6" w14:textId="77777777" w:rsidR="00AD2A2F" w:rsidRDefault="00AD2A2F" w:rsidP="00ED0047">
          <w:pPr>
            <w:pStyle w:val="Header"/>
            <w:rPr>
              <w:rFonts w:ascii="Arial" w:hAnsi="Arial" w:cs="Arial"/>
            </w:rPr>
          </w:pPr>
          <w:r>
            <w:rPr>
              <w:rFonts w:ascii="Arial" w:hAnsi="Arial" w:cs="Arial"/>
            </w:rPr>
            <w:t>JD Category:</w:t>
          </w:r>
          <w:r w:rsidR="00A9131B">
            <w:rPr>
              <w:rFonts w:ascii="Arial" w:hAnsi="Arial" w:cs="Arial"/>
            </w:rPr>
            <w:t xml:space="preserve"> PC </w:t>
          </w:r>
          <w:r w:rsidR="004D1358">
            <w:rPr>
              <w:rFonts w:ascii="Arial" w:hAnsi="Arial" w:cs="Arial"/>
            </w:rPr>
            <w:t>M2</w:t>
          </w:r>
        </w:p>
      </w:tc>
      <w:tc>
        <w:tcPr>
          <w:tcW w:w="3116" w:type="dxa"/>
        </w:tcPr>
        <w:p w14:paraId="6A200231" w14:textId="77777777" w:rsidR="00AD2A2F" w:rsidRDefault="00AD2A2F" w:rsidP="00ED0047">
          <w:pPr>
            <w:pStyle w:val="Header"/>
            <w:rPr>
              <w:rFonts w:ascii="Arial" w:hAnsi="Arial" w:cs="Arial"/>
            </w:rPr>
          </w:pPr>
          <w:r>
            <w:rPr>
              <w:rFonts w:ascii="Arial" w:hAnsi="Arial" w:cs="Arial"/>
            </w:rPr>
            <w:t>Agreed by:</w:t>
          </w:r>
          <w:r w:rsidR="00A9131B">
            <w:rPr>
              <w:rFonts w:ascii="Arial" w:hAnsi="Arial" w:cs="Arial"/>
            </w:rPr>
            <w:t xml:space="preserve"> JK</w:t>
          </w:r>
        </w:p>
      </w:tc>
    </w:tr>
  </w:tbl>
  <w:p w14:paraId="64AA353F" w14:textId="77777777" w:rsidR="00C74DC0" w:rsidRDefault="00C74DC0" w:rsidP="00AD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474F"/>
    <w:multiLevelType w:val="hybridMultilevel"/>
    <w:tmpl w:val="EF88D9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90406"/>
    <w:multiLevelType w:val="hybridMultilevel"/>
    <w:tmpl w:val="00EA6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11578"/>
    <w:multiLevelType w:val="hybridMultilevel"/>
    <w:tmpl w:val="B6404A72"/>
    <w:lvl w:ilvl="0" w:tplc="1EAAB5C4">
      <w:start w:val="2"/>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09617B6B"/>
    <w:multiLevelType w:val="hybridMultilevel"/>
    <w:tmpl w:val="1E3E8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FF7376C"/>
    <w:multiLevelType w:val="hybridMultilevel"/>
    <w:tmpl w:val="E5E06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66A1"/>
    <w:multiLevelType w:val="hybridMultilevel"/>
    <w:tmpl w:val="05B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A5098"/>
    <w:multiLevelType w:val="hybridMultilevel"/>
    <w:tmpl w:val="54580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D717E73"/>
    <w:multiLevelType w:val="hybridMultilevel"/>
    <w:tmpl w:val="C870E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557B"/>
    <w:multiLevelType w:val="hybridMultilevel"/>
    <w:tmpl w:val="1AC2EB10"/>
    <w:lvl w:ilvl="0" w:tplc="22D0EFB2">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B1ACD"/>
    <w:multiLevelType w:val="hybridMultilevel"/>
    <w:tmpl w:val="A87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42F56"/>
    <w:multiLevelType w:val="hybridMultilevel"/>
    <w:tmpl w:val="5934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459B7"/>
    <w:multiLevelType w:val="hybridMultilevel"/>
    <w:tmpl w:val="361C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6D7A20"/>
    <w:multiLevelType w:val="hybridMultilevel"/>
    <w:tmpl w:val="B2E22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B35FE"/>
    <w:multiLevelType w:val="hybridMultilevel"/>
    <w:tmpl w:val="01603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1"/>
  </w:num>
  <w:num w:numId="3">
    <w:abstractNumId w:val="16"/>
  </w:num>
  <w:num w:numId="4">
    <w:abstractNumId w:val="15"/>
  </w:num>
  <w:num w:numId="5">
    <w:abstractNumId w:val="35"/>
  </w:num>
  <w:num w:numId="6">
    <w:abstractNumId w:val="33"/>
  </w:num>
  <w:num w:numId="7">
    <w:abstractNumId w:val="0"/>
  </w:num>
  <w:num w:numId="8">
    <w:abstractNumId w:val="10"/>
  </w:num>
  <w:num w:numId="9">
    <w:abstractNumId w:val="19"/>
  </w:num>
  <w:num w:numId="10">
    <w:abstractNumId w:val="25"/>
  </w:num>
  <w:num w:numId="11">
    <w:abstractNumId w:val="11"/>
  </w:num>
  <w:num w:numId="12">
    <w:abstractNumId w:val="23"/>
  </w:num>
  <w:num w:numId="13">
    <w:abstractNumId w:val="20"/>
  </w:num>
  <w:num w:numId="14">
    <w:abstractNumId w:val="8"/>
  </w:num>
  <w:num w:numId="15">
    <w:abstractNumId w:val="3"/>
  </w:num>
  <w:num w:numId="16">
    <w:abstractNumId w:val="6"/>
  </w:num>
  <w:num w:numId="17">
    <w:abstractNumId w:val="12"/>
  </w:num>
  <w:num w:numId="18">
    <w:abstractNumId w:val="18"/>
  </w:num>
  <w:num w:numId="19">
    <w:abstractNumId w:val="13"/>
  </w:num>
  <w:num w:numId="20">
    <w:abstractNumId w:val="22"/>
  </w:num>
  <w:num w:numId="21">
    <w:abstractNumId w:val="32"/>
  </w:num>
  <w:num w:numId="22">
    <w:abstractNumId w:val="26"/>
  </w:num>
  <w:num w:numId="23">
    <w:abstractNumId w:val="27"/>
  </w:num>
  <w:num w:numId="24">
    <w:abstractNumId w:val="14"/>
  </w:num>
  <w:num w:numId="25">
    <w:abstractNumId w:val="2"/>
  </w:num>
  <w:num w:numId="26">
    <w:abstractNumId w:val="1"/>
  </w:num>
  <w:num w:numId="27">
    <w:abstractNumId w:val="4"/>
  </w:num>
  <w:num w:numId="28">
    <w:abstractNumId w:val="7"/>
  </w:num>
  <w:num w:numId="29">
    <w:abstractNumId w:val="24"/>
  </w:num>
  <w:num w:numId="30">
    <w:abstractNumId w:val="9"/>
  </w:num>
  <w:num w:numId="31">
    <w:abstractNumId w:val="5"/>
  </w:num>
  <w:num w:numId="32">
    <w:abstractNumId w:val="17"/>
  </w:num>
  <w:num w:numId="33">
    <w:abstractNumId w:val="30"/>
  </w:num>
  <w:num w:numId="34">
    <w:abstractNumId w:val="28"/>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232BE"/>
    <w:rsid w:val="00027E05"/>
    <w:rsid w:val="00043B56"/>
    <w:rsid w:val="00062E4D"/>
    <w:rsid w:val="00075D65"/>
    <w:rsid w:val="00090411"/>
    <w:rsid w:val="00092859"/>
    <w:rsid w:val="0009585D"/>
    <w:rsid w:val="000A4CEF"/>
    <w:rsid w:val="000F1766"/>
    <w:rsid w:val="000F3F5D"/>
    <w:rsid w:val="0012230D"/>
    <w:rsid w:val="00123E57"/>
    <w:rsid w:val="00125D0C"/>
    <w:rsid w:val="00132E9A"/>
    <w:rsid w:val="0013330A"/>
    <w:rsid w:val="0013471D"/>
    <w:rsid w:val="00137858"/>
    <w:rsid w:val="001421E1"/>
    <w:rsid w:val="00142EC8"/>
    <w:rsid w:val="001847F9"/>
    <w:rsid w:val="00194714"/>
    <w:rsid w:val="001A7F8B"/>
    <w:rsid w:val="001B1597"/>
    <w:rsid w:val="001B173E"/>
    <w:rsid w:val="0021034B"/>
    <w:rsid w:val="00211DA2"/>
    <w:rsid w:val="002248B2"/>
    <w:rsid w:val="00231A97"/>
    <w:rsid w:val="00244871"/>
    <w:rsid w:val="002454F3"/>
    <w:rsid w:val="00250C58"/>
    <w:rsid w:val="002604E6"/>
    <w:rsid w:val="002811F3"/>
    <w:rsid w:val="002828DE"/>
    <w:rsid w:val="00293CF4"/>
    <w:rsid w:val="002950CF"/>
    <w:rsid w:val="002D4FBF"/>
    <w:rsid w:val="002D796D"/>
    <w:rsid w:val="002E42B0"/>
    <w:rsid w:val="003415FC"/>
    <w:rsid w:val="00352C09"/>
    <w:rsid w:val="00353222"/>
    <w:rsid w:val="003717FE"/>
    <w:rsid w:val="00372C6D"/>
    <w:rsid w:val="003740FC"/>
    <w:rsid w:val="0037761D"/>
    <w:rsid w:val="0038619B"/>
    <w:rsid w:val="00392B30"/>
    <w:rsid w:val="00394171"/>
    <w:rsid w:val="003B60D8"/>
    <w:rsid w:val="003B677B"/>
    <w:rsid w:val="003C083E"/>
    <w:rsid w:val="003E2FAC"/>
    <w:rsid w:val="003E69A4"/>
    <w:rsid w:val="00415945"/>
    <w:rsid w:val="0043391B"/>
    <w:rsid w:val="004551DA"/>
    <w:rsid w:val="004A1ED5"/>
    <w:rsid w:val="004D1358"/>
    <w:rsid w:val="004E1FD7"/>
    <w:rsid w:val="0053499D"/>
    <w:rsid w:val="00536A35"/>
    <w:rsid w:val="005459EE"/>
    <w:rsid w:val="00553B01"/>
    <w:rsid w:val="00565779"/>
    <w:rsid w:val="0057751F"/>
    <w:rsid w:val="005E18F9"/>
    <w:rsid w:val="00602676"/>
    <w:rsid w:val="0062153D"/>
    <w:rsid w:val="006270F2"/>
    <w:rsid w:val="00635CDC"/>
    <w:rsid w:val="006B2A30"/>
    <w:rsid w:val="006B697A"/>
    <w:rsid w:val="006C0FB7"/>
    <w:rsid w:val="006C24BA"/>
    <w:rsid w:val="006D2D3B"/>
    <w:rsid w:val="006E1D31"/>
    <w:rsid w:val="006E3E91"/>
    <w:rsid w:val="006F3B3F"/>
    <w:rsid w:val="007211D8"/>
    <w:rsid w:val="00723DE0"/>
    <w:rsid w:val="007278B4"/>
    <w:rsid w:val="007304C9"/>
    <w:rsid w:val="00731DBF"/>
    <w:rsid w:val="00732116"/>
    <w:rsid w:val="00740E40"/>
    <w:rsid w:val="00760374"/>
    <w:rsid w:val="0076333E"/>
    <w:rsid w:val="00777E1E"/>
    <w:rsid w:val="00792523"/>
    <w:rsid w:val="00794D2E"/>
    <w:rsid w:val="007A15F3"/>
    <w:rsid w:val="007B05C8"/>
    <w:rsid w:val="007B61A9"/>
    <w:rsid w:val="007B668C"/>
    <w:rsid w:val="007D32DB"/>
    <w:rsid w:val="007D4781"/>
    <w:rsid w:val="007E0385"/>
    <w:rsid w:val="007F134D"/>
    <w:rsid w:val="007F1E55"/>
    <w:rsid w:val="008016E6"/>
    <w:rsid w:val="0082280C"/>
    <w:rsid w:val="00864BB2"/>
    <w:rsid w:val="00881ECE"/>
    <w:rsid w:val="0088732D"/>
    <w:rsid w:val="00892987"/>
    <w:rsid w:val="008B1C02"/>
    <w:rsid w:val="008B207E"/>
    <w:rsid w:val="008D0F7B"/>
    <w:rsid w:val="008D3947"/>
    <w:rsid w:val="009216A3"/>
    <w:rsid w:val="00931038"/>
    <w:rsid w:val="00944849"/>
    <w:rsid w:val="0096137F"/>
    <w:rsid w:val="00971687"/>
    <w:rsid w:val="009812B4"/>
    <w:rsid w:val="009A40E9"/>
    <w:rsid w:val="009E04BB"/>
    <w:rsid w:val="009E3A0B"/>
    <w:rsid w:val="00A04AAF"/>
    <w:rsid w:val="00A162FA"/>
    <w:rsid w:val="00A2482A"/>
    <w:rsid w:val="00A43EEB"/>
    <w:rsid w:val="00A50C7E"/>
    <w:rsid w:val="00A81AD2"/>
    <w:rsid w:val="00A873F5"/>
    <w:rsid w:val="00A91159"/>
    <w:rsid w:val="00A9131B"/>
    <w:rsid w:val="00AA272F"/>
    <w:rsid w:val="00AA7BAE"/>
    <w:rsid w:val="00AB0B26"/>
    <w:rsid w:val="00AD2A2F"/>
    <w:rsid w:val="00B03681"/>
    <w:rsid w:val="00B1540F"/>
    <w:rsid w:val="00B26C4A"/>
    <w:rsid w:val="00B26D97"/>
    <w:rsid w:val="00B412FB"/>
    <w:rsid w:val="00B670E2"/>
    <w:rsid w:val="00B766E2"/>
    <w:rsid w:val="00B8337B"/>
    <w:rsid w:val="00BC2ECC"/>
    <w:rsid w:val="00BD0AE1"/>
    <w:rsid w:val="00BE58F3"/>
    <w:rsid w:val="00BF6792"/>
    <w:rsid w:val="00C223EE"/>
    <w:rsid w:val="00C40509"/>
    <w:rsid w:val="00C44CD3"/>
    <w:rsid w:val="00C555C0"/>
    <w:rsid w:val="00C55F87"/>
    <w:rsid w:val="00C570E0"/>
    <w:rsid w:val="00C61A28"/>
    <w:rsid w:val="00C62332"/>
    <w:rsid w:val="00C67BB3"/>
    <w:rsid w:val="00C74DC0"/>
    <w:rsid w:val="00C83620"/>
    <w:rsid w:val="00CA624D"/>
    <w:rsid w:val="00CB2A78"/>
    <w:rsid w:val="00CC7F19"/>
    <w:rsid w:val="00CD59EA"/>
    <w:rsid w:val="00CF5B57"/>
    <w:rsid w:val="00CF78D0"/>
    <w:rsid w:val="00D03817"/>
    <w:rsid w:val="00D30A9F"/>
    <w:rsid w:val="00D52A5F"/>
    <w:rsid w:val="00D621FE"/>
    <w:rsid w:val="00D95D82"/>
    <w:rsid w:val="00DA178F"/>
    <w:rsid w:val="00DA2A44"/>
    <w:rsid w:val="00DB44FC"/>
    <w:rsid w:val="00DB55AF"/>
    <w:rsid w:val="00DC3382"/>
    <w:rsid w:val="00DC57D6"/>
    <w:rsid w:val="00DD6089"/>
    <w:rsid w:val="00DF0002"/>
    <w:rsid w:val="00E06639"/>
    <w:rsid w:val="00E1350A"/>
    <w:rsid w:val="00E167B8"/>
    <w:rsid w:val="00E16896"/>
    <w:rsid w:val="00E35EB6"/>
    <w:rsid w:val="00E41DD6"/>
    <w:rsid w:val="00E46835"/>
    <w:rsid w:val="00E537C2"/>
    <w:rsid w:val="00E57D07"/>
    <w:rsid w:val="00E60BB1"/>
    <w:rsid w:val="00E6640E"/>
    <w:rsid w:val="00E66455"/>
    <w:rsid w:val="00E775BA"/>
    <w:rsid w:val="00E8074E"/>
    <w:rsid w:val="00E8541F"/>
    <w:rsid w:val="00EA1D67"/>
    <w:rsid w:val="00ED0047"/>
    <w:rsid w:val="00ED5FA7"/>
    <w:rsid w:val="00ED6572"/>
    <w:rsid w:val="00EF0DD0"/>
    <w:rsid w:val="00F02465"/>
    <w:rsid w:val="00F16C8E"/>
    <w:rsid w:val="00F3378D"/>
    <w:rsid w:val="00F40568"/>
    <w:rsid w:val="00F7425D"/>
    <w:rsid w:val="00FA12DF"/>
    <w:rsid w:val="00FA2FC9"/>
    <w:rsid w:val="00FA3CA3"/>
    <w:rsid w:val="00FB103C"/>
    <w:rsid w:val="00FD1B44"/>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F3A82"/>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paragraph" w:customStyle="1" w:styleId="Default">
    <w:name w:val="Default"/>
    <w:rsid w:val="00C8362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7761D"/>
    <w:rPr>
      <w:sz w:val="16"/>
      <w:szCs w:val="16"/>
    </w:rPr>
  </w:style>
  <w:style w:type="paragraph" w:styleId="CommentText">
    <w:name w:val="annotation text"/>
    <w:basedOn w:val="Normal"/>
    <w:link w:val="CommentTextChar"/>
    <w:uiPriority w:val="99"/>
    <w:semiHidden/>
    <w:unhideWhenUsed/>
    <w:rsid w:val="0037761D"/>
    <w:pPr>
      <w:spacing w:line="240" w:lineRule="auto"/>
    </w:pPr>
    <w:rPr>
      <w:sz w:val="20"/>
      <w:szCs w:val="20"/>
    </w:rPr>
  </w:style>
  <w:style w:type="character" w:customStyle="1" w:styleId="CommentTextChar">
    <w:name w:val="Comment Text Char"/>
    <w:basedOn w:val="DefaultParagraphFont"/>
    <w:link w:val="CommentText"/>
    <w:uiPriority w:val="99"/>
    <w:semiHidden/>
    <w:rsid w:val="0037761D"/>
    <w:rPr>
      <w:sz w:val="20"/>
      <w:szCs w:val="20"/>
    </w:rPr>
  </w:style>
  <w:style w:type="paragraph" w:styleId="CommentSubject">
    <w:name w:val="annotation subject"/>
    <w:basedOn w:val="CommentText"/>
    <w:next w:val="CommentText"/>
    <w:link w:val="CommentSubjectChar"/>
    <w:uiPriority w:val="99"/>
    <w:semiHidden/>
    <w:unhideWhenUsed/>
    <w:rsid w:val="0037761D"/>
    <w:rPr>
      <w:b/>
      <w:bCs/>
    </w:rPr>
  </w:style>
  <w:style w:type="character" w:customStyle="1" w:styleId="CommentSubjectChar">
    <w:name w:val="Comment Subject Char"/>
    <w:basedOn w:val="CommentTextChar"/>
    <w:link w:val="CommentSubject"/>
    <w:uiPriority w:val="99"/>
    <w:semiHidden/>
    <w:rsid w:val="0037761D"/>
    <w:rPr>
      <w:b/>
      <w:bCs/>
      <w:sz w:val="20"/>
      <w:szCs w:val="20"/>
    </w:rPr>
  </w:style>
  <w:style w:type="paragraph" w:styleId="Revision">
    <w:name w:val="Revision"/>
    <w:hidden/>
    <w:uiPriority w:val="99"/>
    <w:semiHidden/>
    <w:rsid w:val="007D3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44906-8838-4E85-95E5-C69A0E08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8D840-9CB9-43AD-9644-17FD4C4D57AA}">
  <ds:schemaRefs>
    <ds:schemaRef ds:uri="http://purl.org/dc/terms/"/>
    <ds:schemaRef ds:uri="http://schemas.openxmlformats.org/package/2006/metadata/core-properties"/>
    <ds:schemaRef ds:uri="7e78af23-eeee-4947-93b3-4e2bb3c4cddf"/>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60a39b6-fc27-4038-b1bb-cb85cb57372b"/>
    <ds:schemaRef ds:uri="http://www.w3.org/XML/1998/namespace"/>
  </ds:schemaRefs>
</ds:datastoreItem>
</file>

<file path=customXml/itemProps3.xml><?xml version="1.0" encoding="utf-8"?>
<ds:datastoreItem xmlns:ds="http://schemas.openxmlformats.org/officeDocument/2006/customXml" ds:itemID="{5F8D9669-5864-493F-8431-953160E46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3</cp:revision>
  <cp:lastPrinted>2021-11-22T14:47:00Z</cp:lastPrinted>
  <dcterms:created xsi:type="dcterms:W3CDTF">2021-11-24T17:16:00Z</dcterms:created>
  <dcterms:modified xsi:type="dcterms:W3CDTF">2021-11-25T09:22:00Z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