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FC678" w14:textId="7410852D" w:rsidR="00EA1D67" w:rsidRDefault="00EA1D67" w:rsidP="00B26C4A">
      <w:pPr>
        <w:spacing w:after="0" w:line="240" w:lineRule="auto"/>
      </w:pPr>
    </w:p>
    <w:p w14:paraId="750D99C5" w14:textId="77777777" w:rsidR="00B26C4A" w:rsidRDefault="00B26C4A" w:rsidP="00B26C4A">
      <w:pPr>
        <w:spacing w:after="0" w:line="240" w:lineRule="auto"/>
      </w:pPr>
    </w:p>
    <w:p w14:paraId="0254EC34" w14:textId="6E94E3DE" w:rsidR="00DA178F" w:rsidRPr="00C8605A" w:rsidRDefault="00CE3F4B" w:rsidP="00B26C4A">
      <w:pPr>
        <w:spacing w:after="0" w:line="240" w:lineRule="auto"/>
        <w:rPr>
          <w:rFonts w:ascii="Segoe UI" w:eastAsia="Calibri" w:hAnsi="Segoe UI" w:cs="Segoe UI"/>
          <w:b/>
          <w:sz w:val="28"/>
        </w:rPr>
      </w:pPr>
      <w:r>
        <w:rPr>
          <w:noProof/>
          <w:lang w:eastAsia="en-GB"/>
        </w:rPr>
        <w:t xml:space="preserve">                                                                  </w:t>
      </w:r>
      <w:r>
        <w:rPr>
          <w:noProof/>
          <w:lang w:eastAsia="en-GB"/>
        </w:rPr>
        <w:drawing>
          <wp:inline distT="0" distB="0" distL="0" distR="0" wp14:anchorId="5FB269A1" wp14:editId="61803CC7">
            <wp:extent cx="1866900" cy="90487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66900" cy="904875"/>
                    </a:xfrm>
                    <a:prstGeom prst="rect">
                      <a:avLst/>
                    </a:prstGeom>
                  </pic:spPr>
                </pic:pic>
              </a:graphicData>
            </a:graphic>
          </wp:inline>
        </w:drawing>
      </w:r>
    </w:p>
    <w:p w14:paraId="0EF62A7C" w14:textId="77777777" w:rsidR="00DA178F" w:rsidRDefault="00DA178F" w:rsidP="00B26C4A">
      <w:pPr>
        <w:spacing w:after="0" w:line="240" w:lineRule="auto"/>
        <w:rPr>
          <w:rFonts w:ascii="Arial" w:eastAsia="Calibri" w:hAnsi="Arial" w:cs="Arial"/>
          <w:b/>
        </w:rPr>
      </w:pPr>
    </w:p>
    <w:p w14:paraId="14C8953E" w14:textId="77777777" w:rsidR="00ED0047" w:rsidRPr="00CF5B57" w:rsidRDefault="00ED0047" w:rsidP="00B26C4A">
      <w:pPr>
        <w:spacing w:after="0" w:line="240" w:lineRule="auto"/>
        <w:rPr>
          <w:rFonts w:ascii="Arial" w:eastAsia="Calibri" w:hAnsi="Arial" w:cs="Arial"/>
          <w:b/>
        </w:rPr>
      </w:pPr>
    </w:p>
    <w:p w14:paraId="6E122CDC" w14:textId="77777777" w:rsidR="00ED0047" w:rsidRPr="00CF5B57" w:rsidRDefault="00ED0047" w:rsidP="00B26C4A">
      <w:pPr>
        <w:spacing w:after="0" w:line="240" w:lineRule="auto"/>
        <w:rPr>
          <w:rFonts w:ascii="Arial" w:eastAsia="Calibri" w:hAnsi="Arial" w:cs="Arial"/>
          <w:b/>
        </w:rPr>
      </w:pPr>
    </w:p>
    <w:tbl>
      <w:tblPr>
        <w:tblStyle w:val="TableGrid"/>
        <w:tblW w:w="9639" w:type="dxa"/>
        <w:tblInd w:w="-5" w:type="dxa"/>
        <w:tblLook w:val="04A0" w:firstRow="1" w:lastRow="0" w:firstColumn="1" w:lastColumn="0" w:noHBand="0" w:noVBand="1"/>
      </w:tblPr>
      <w:tblGrid>
        <w:gridCol w:w="9639"/>
      </w:tblGrid>
      <w:tr w:rsidR="00B03681" w:rsidRPr="00CF5B57" w14:paraId="13E8ABFC" w14:textId="77777777" w:rsidTr="00CA624D">
        <w:trPr>
          <w:trHeight w:val="595"/>
        </w:trPr>
        <w:tc>
          <w:tcPr>
            <w:tcW w:w="9639" w:type="dxa"/>
            <w:vAlign w:val="center"/>
          </w:tcPr>
          <w:p w14:paraId="4A4FDCBF" w14:textId="63FF580E" w:rsidR="00315808" w:rsidRPr="006B61A4" w:rsidRDefault="00522973" w:rsidP="00315808">
            <w:pPr>
              <w:jc w:val="center"/>
              <w:rPr>
                <w:rFonts w:ascii="Open Sans Light" w:hAnsi="Open Sans Light" w:cs="Open Sans Light"/>
                <w:b/>
                <w:sz w:val="24"/>
                <w:szCs w:val="24"/>
              </w:rPr>
            </w:pPr>
            <w:r w:rsidRPr="006B61A4">
              <w:rPr>
                <w:rFonts w:ascii="Open Sans Light" w:hAnsi="Open Sans Light" w:cs="Open Sans Light"/>
                <w:b/>
                <w:sz w:val="24"/>
                <w:szCs w:val="24"/>
              </w:rPr>
              <w:t>Learning Support Tutor</w:t>
            </w:r>
            <w:r w:rsidR="009C1A71">
              <w:rPr>
                <w:rFonts w:ascii="Open Sans Light" w:hAnsi="Open Sans Light" w:cs="Open Sans Light"/>
                <w:b/>
                <w:sz w:val="24"/>
                <w:szCs w:val="24"/>
              </w:rPr>
              <w:t xml:space="preserve"> (Part time 0.8 FTE)</w:t>
            </w:r>
          </w:p>
          <w:p w14:paraId="74D469B8" w14:textId="77777777" w:rsidR="00B03681" w:rsidRPr="0055099F" w:rsidRDefault="00B03681" w:rsidP="0055099F">
            <w:pPr>
              <w:jc w:val="center"/>
              <w:rPr>
                <w:rFonts w:ascii="Arial" w:eastAsia="Calibri" w:hAnsi="Arial" w:cs="Arial"/>
                <w:b/>
                <w:i/>
              </w:rPr>
            </w:pPr>
          </w:p>
        </w:tc>
      </w:tr>
    </w:tbl>
    <w:p w14:paraId="601AAB00" w14:textId="77777777" w:rsidR="00DA178F" w:rsidRPr="00CF5B57" w:rsidRDefault="00DA178F" w:rsidP="00B26C4A">
      <w:pPr>
        <w:spacing w:after="0" w:line="240" w:lineRule="auto"/>
        <w:rPr>
          <w:rFonts w:ascii="Arial" w:eastAsia="Calibri" w:hAnsi="Arial" w:cs="Arial"/>
          <w:b/>
        </w:rPr>
      </w:pPr>
    </w:p>
    <w:p w14:paraId="7A1F11A3" w14:textId="77777777" w:rsidR="00B26C4A" w:rsidRPr="00CF5B57" w:rsidRDefault="00B26C4A" w:rsidP="00B26C4A">
      <w:pPr>
        <w:spacing w:after="0" w:line="240" w:lineRule="auto"/>
        <w:rPr>
          <w:rFonts w:ascii="Arial" w:eastAsia="Calibri" w:hAnsi="Arial" w:cs="Arial"/>
        </w:rPr>
      </w:pPr>
    </w:p>
    <w:tbl>
      <w:tblPr>
        <w:tblW w:w="9634" w:type="dxa"/>
        <w:tblLook w:val="04A0" w:firstRow="1" w:lastRow="0" w:firstColumn="1" w:lastColumn="0" w:noHBand="0" w:noVBand="1"/>
      </w:tblPr>
      <w:tblGrid>
        <w:gridCol w:w="3256"/>
        <w:gridCol w:w="6378"/>
      </w:tblGrid>
      <w:tr w:rsidR="00B03681" w:rsidRPr="006B61A4" w14:paraId="5C13A2C9" w14:textId="77777777" w:rsidTr="00CA624D">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14F496F9" w14:textId="77777777" w:rsidR="00B03681" w:rsidRPr="006B61A4" w:rsidRDefault="00244871" w:rsidP="00B26C4A">
            <w:pPr>
              <w:spacing w:after="0" w:line="240" w:lineRule="auto"/>
              <w:rPr>
                <w:rFonts w:ascii="Open Sans Light" w:eastAsia="Calibri" w:hAnsi="Open Sans Light" w:cs="Open Sans Light"/>
                <w:b/>
                <w:sz w:val="20"/>
                <w:szCs w:val="20"/>
              </w:rPr>
            </w:pPr>
            <w:r w:rsidRPr="006B61A4">
              <w:rPr>
                <w:rFonts w:ascii="Open Sans Light" w:eastAsia="Calibri" w:hAnsi="Open Sans Light" w:cs="Open Sans Light"/>
                <w:b/>
                <w:sz w:val="20"/>
                <w:szCs w:val="20"/>
              </w:rPr>
              <w:t>Reporting T</w:t>
            </w:r>
            <w:r w:rsidR="00B03681" w:rsidRPr="006B61A4">
              <w:rPr>
                <w:rFonts w:ascii="Open Sans Light" w:eastAsia="Calibri" w:hAnsi="Open Sans Light" w:cs="Open Sans Light"/>
                <w:b/>
                <w:sz w:val="20"/>
                <w:szCs w:val="20"/>
              </w:rPr>
              <w: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06509292" w14:textId="77777777" w:rsidR="00B03681" w:rsidRPr="006B61A4" w:rsidRDefault="00315808" w:rsidP="00F40568">
            <w:pPr>
              <w:spacing w:after="0" w:line="240" w:lineRule="auto"/>
              <w:rPr>
                <w:rFonts w:ascii="Open Sans Light" w:eastAsia="Calibri" w:hAnsi="Open Sans Light" w:cs="Open Sans Light"/>
                <w:sz w:val="20"/>
                <w:szCs w:val="20"/>
              </w:rPr>
            </w:pPr>
            <w:r w:rsidRPr="006B61A4">
              <w:rPr>
                <w:rFonts w:ascii="Open Sans Light" w:eastAsia="Calibri" w:hAnsi="Open Sans Light" w:cs="Open Sans Light"/>
                <w:sz w:val="20"/>
                <w:szCs w:val="20"/>
              </w:rPr>
              <w:t>Manager</w:t>
            </w:r>
            <w:r w:rsidR="00294E70" w:rsidRPr="006B61A4">
              <w:rPr>
                <w:rFonts w:ascii="Open Sans Light" w:eastAsia="Calibri" w:hAnsi="Open Sans Light" w:cs="Open Sans Light"/>
                <w:sz w:val="20"/>
                <w:szCs w:val="20"/>
              </w:rPr>
              <w:t>, Learning Support</w:t>
            </w:r>
          </w:p>
        </w:tc>
      </w:tr>
      <w:tr w:rsidR="00B03681" w:rsidRPr="006B61A4" w14:paraId="09304FE4" w14:textId="77777777" w:rsidTr="00CA624D">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7858D840" w14:textId="77777777" w:rsidR="00B03681" w:rsidRPr="006B61A4" w:rsidRDefault="00B03681" w:rsidP="00B26C4A">
            <w:pPr>
              <w:spacing w:after="0" w:line="240" w:lineRule="auto"/>
              <w:rPr>
                <w:rFonts w:ascii="Open Sans Light" w:eastAsia="Calibri" w:hAnsi="Open Sans Light" w:cs="Open Sans Light"/>
                <w:b/>
                <w:sz w:val="20"/>
                <w:szCs w:val="20"/>
              </w:rPr>
            </w:pPr>
            <w:r w:rsidRPr="006B61A4">
              <w:rPr>
                <w:rFonts w:ascii="Open Sans Light" w:eastAsia="Calibri" w:hAnsi="Open Sans Light" w:cs="Open Sans Light"/>
                <w:b/>
                <w:sz w:val="20"/>
                <w:szCs w:val="20"/>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036D0A49" w14:textId="069E186A" w:rsidR="00B03681" w:rsidRPr="006B61A4" w:rsidRDefault="009C1A71" w:rsidP="00157601">
            <w:pPr>
              <w:spacing w:after="0" w:line="240" w:lineRule="auto"/>
              <w:rPr>
                <w:rFonts w:ascii="Open Sans Light" w:eastAsia="Calibri" w:hAnsi="Open Sans Light" w:cs="Open Sans Light"/>
                <w:sz w:val="20"/>
                <w:szCs w:val="20"/>
              </w:rPr>
            </w:pPr>
            <w:r>
              <w:rPr>
                <w:rFonts w:ascii="Open Sans Light" w:hAnsi="Open Sans Light" w:cs="Open Sans Light"/>
                <w:sz w:val="20"/>
                <w:szCs w:val="20"/>
              </w:rPr>
              <w:t>Part time (0.8 FTE)</w:t>
            </w:r>
          </w:p>
        </w:tc>
      </w:tr>
      <w:tr w:rsidR="00B03681" w:rsidRPr="006B61A4" w14:paraId="13542C59" w14:textId="77777777" w:rsidTr="00CA624D">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1D75883D" w14:textId="77777777" w:rsidR="00B03681" w:rsidRPr="006B61A4" w:rsidRDefault="00B03681" w:rsidP="00B26C4A">
            <w:pPr>
              <w:spacing w:after="0" w:line="240" w:lineRule="auto"/>
              <w:rPr>
                <w:rFonts w:ascii="Open Sans Light" w:eastAsia="Calibri" w:hAnsi="Open Sans Light" w:cs="Open Sans Light"/>
                <w:b/>
                <w:sz w:val="20"/>
                <w:szCs w:val="20"/>
              </w:rPr>
            </w:pPr>
            <w:r w:rsidRPr="006B61A4">
              <w:rPr>
                <w:rFonts w:ascii="Open Sans Light" w:eastAsia="Calibri" w:hAnsi="Open Sans Light" w:cs="Open Sans Light"/>
                <w:b/>
                <w:sz w:val="20"/>
                <w:szCs w:val="20"/>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40F85EA8" w14:textId="2E65FB6C" w:rsidR="00B03681" w:rsidRPr="006B61A4" w:rsidRDefault="00C8605A" w:rsidP="00315808">
            <w:pPr>
              <w:spacing w:after="0" w:line="240" w:lineRule="auto"/>
              <w:rPr>
                <w:rFonts w:ascii="Open Sans Light" w:eastAsia="Calibri" w:hAnsi="Open Sans Light" w:cs="Open Sans Light"/>
                <w:sz w:val="20"/>
                <w:szCs w:val="20"/>
              </w:rPr>
            </w:pPr>
            <w:r w:rsidRPr="006B61A4">
              <w:rPr>
                <w:rFonts w:ascii="Open Sans Light" w:eastAsia="Calibri" w:hAnsi="Open Sans Light" w:cs="Open Sans Light"/>
                <w:sz w:val="20"/>
                <w:szCs w:val="20"/>
              </w:rPr>
              <w:t>19-28 (£22,902-£29,909)</w:t>
            </w:r>
            <w:r w:rsidR="009C1A71">
              <w:rPr>
                <w:rFonts w:ascii="Open Sans Light" w:eastAsia="Calibri" w:hAnsi="Open Sans Light" w:cs="Open Sans Light"/>
                <w:sz w:val="20"/>
                <w:szCs w:val="20"/>
              </w:rPr>
              <w:t xml:space="preserve"> (Pro rata)</w:t>
            </w:r>
          </w:p>
        </w:tc>
      </w:tr>
      <w:tr w:rsidR="006B61A4" w:rsidRPr="006B61A4" w14:paraId="1A3E6ACC" w14:textId="77777777" w:rsidTr="00CA624D">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0F6D7067" w14:textId="3B3E7CE1" w:rsidR="006B61A4" w:rsidRPr="006B61A4" w:rsidRDefault="006B61A4" w:rsidP="006B61A4">
            <w:pPr>
              <w:spacing w:after="0" w:line="240" w:lineRule="auto"/>
              <w:rPr>
                <w:rFonts w:ascii="Open Sans Light" w:eastAsia="Calibri" w:hAnsi="Open Sans Light" w:cs="Open Sans Light"/>
                <w:b/>
                <w:sz w:val="20"/>
                <w:szCs w:val="20"/>
              </w:rPr>
            </w:pPr>
            <w:r w:rsidRPr="006B61A4">
              <w:rPr>
                <w:rFonts w:ascii="Open Sans Light" w:eastAsia="Calibri" w:hAnsi="Open Sans Light" w:cs="Open Sans Light"/>
                <w:b/>
                <w:sz w:val="20"/>
                <w:szCs w:val="20"/>
              </w:rPr>
              <w:t xml:space="preserve">Position code: </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747DD417" w14:textId="0831BBF6" w:rsidR="006B61A4" w:rsidRPr="006B61A4" w:rsidRDefault="006B61A4" w:rsidP="006B61A4">
            <w:pPr>
              <w:spacing w:after="0" w:line="240" w:lineRule="auto"/>
              <w:rPr>
                <w:rFonts w:ascii="Open Sans Light" w:eastAsia="Calibri" w:hAnsi="Open Sans Light" w:cs="Open Sans Light"/>
                <w:color w:val="FF0000"/>
                <w:sz w:val="20"/>
                <w:szCs w:val="20"/>
              </w:rPr>
            </w:pPr>
            <w:r w:rsidRPr="006B61A4">
              <w:rPr>
                <w:rFonts w:ascii="Open Sans Light" w:hAnsi="Open Sans Light" w:cs="Open Sans Light"/>
                <w:sz w:val="20"/>
                <w:szCs w:val="20"/>
              </w:rPr>
              <w:t>PC A1</w:t>
            </w:r>
          </w:p>
        </w:tc>
      </w:tr>
      <w:tr w:rsidR="006B61A4" w:rsidRPr="006B61A4" w14:paraId="6F3ABAD6" w14:textId="77777777" w:rsidTr="00CA624D">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2E254D54" w14:textId="53043B5B" w:rsidR="006B61A4" w:rsidRPr="006B61A4" w:rsidRDefault="006B61A4" w:rsidP="006B61A4">
            <w:pPr>
              <w:spacing w:after="0" w:line="240" w:lineRule="auto"/>
              <w:rPr>
                <w:rFonts w:ascii="Open Sans Light" w:eastAsia="Calibri" w:hAnsi="Open Sans Light" w:cs="Open Sans Light"/>
                <w:b/>
                <w:sz w:val="20"/>
                <w:szCs w:val="20"/>
              </w:rPr>
            </w:pPr>
            <w:r w:rsidRPr="006B61A4">
              <w:rPr>
                <w:rFonts w:ascii="Open Sans Light" w:eastAsia="Calibri" w:hAnsi="Open Sans Light" w:cs="Open Sans Light"/>
                <w:b/>
                <w:sz w:val="20"/>
                <w:szCs w:val="20"/>
              </w:rPr>
              <w:t xml:space="preserve">Annual Leave: </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814562C" w14:textId="75D74904" w:rsidR="006B61A4" w:rsidRPr="006B61A4" w:rsidRDefault="006B61A4" w:rsidP="006B61A4">
            <w:pPr>
              <w:spacing w:after="0" w:line="240" w:lineRule="auto"/>
              <w:rPr>
                <w:rFonts w:ascii="Open Sans Light" w:eastAsia="Calibri" w:hAnsi="Open Sans Light" w:cs="Open Sans Light"/>
                <w:color w:val="FF0000"/>
                <w:sz w:val="20"/>
                <w:szCs w:val="20"/>
              </w:rPr>
            </w:pPr>
            <w:r w:rsidRPr="006B61A4">
              <w:rPr>
                <w:rFonts w:ascii="Open Sans Light" w:hAnsi="Open Sans Light" w:cs="Open Sans Light"/>
                <w:sz w:val="20"/>
                <w:szCs w:val="20"/>
              </w:rPr>
              <w:t xml:space="preserve">37 electable days plus 8 statutory days </w:t>
            </w:r>
            <w:r w:rsidR="009C1A71">
              <w:rPr>
                <w:rFonts w:ascii="Open Sans Light" w:hAnsi="Open Sans Light" w:cs="Open Sans Light"/>
                <w:sz w:val="20"/>
                <w:szCs w:val="20"/>
              </w:rPr>
              <w:t>(pro rata)</w:t>
            </w:r>
            <w:bookmarkStart w:id="0" w:name="_GoBack"/>
            <w:bookmarkEnd w:id="0"/>
          </w:p>
        </w:tc>
      </w:tr>
    </w:tbl>
    <w:p w14:paraId="0B14C640" w14:textId="77777777" w:rsidR="00B26C4A" w:rsidRPr="00CF5B57" w:rsidRDefault="00B26C4A" w:rsidP="00B26C4A">
      <w:pPr>
        <w:spacing w:after="0" w:line="240" w:lineRule="auto"/>
        <w:rPr>
          <w:rFonts w:ascii="Arial" w:eastAsia="Calibri" w:hAnsi="Arial" w:cs="Arial"/>
          <w:b/>
          <w:u w:val="single"/>
        </w:rPr>
      </w:pPr>
    </w:p>
    <w:p w14:paraId="37064EFB" w14:textId="77777777" w:rsidR="00B26C4A" w:rsidRPr="006B61A4" w:rsidRDefault="00B26C4A" w:rsidP="00B26C4A">
      <w:pPr>
        <w:spacing w:after="0" w:line="240" w:lineRule="auto"/>
        <w:rPr>
          <w:rFonts w:ascii="Open Sans Light" w:eastAsia="Calibri" w:hAnsi="Open Sans Light" w:cs="Open Sans Light"/>
          <w:i/>
          <w:sz w:val="20"/>
          <w:szCs w:val="20"/>
        </w:rPr>
      </w:pPr>
      <w:r w:rsidRPr="006B61A4">
        <w:rPr>
          <w:rFonts w:ascii="Open Sans Light" w:eastAsia="Calibri" w:hAnsi="Open Sans Light" w:cs="Open Sans Light"/>
          <w:b/>
          <w:sz w:val="20"/>
          <w:szCs w:val="20"/>
        </w:rPr>
        <w:t>Job Purpose</w:t>
      </w:r>
    </w:p>
    <w:p w14:paraId="0810C2D6" w14:textId="77777777" w:rsidR="00B26C4A" w:rsidRPr="006B61A4" w:rsidRDefault="00B26C4A" w:rsidP="00B412FB">
      <w:pPr>
        <w:spacing w:after="0" w:line="240" w:lineRule="auto"/>
        <w:rPr>
          <w:rFonts w:ascii="Open Sans Light" w:eastAsia="Calibri" w:hAnsi="Open Sans Light" w:cs="Open Sans Light"/>
          <w:b/>
          <w:sz w:val="20"/>
          <w:szCs w:val="20"/>
          <w:u w:val="single"/>
        </w:rPr>
      </w:pPr>
    </w:p>
    <w:p w14:paraId="060F4272" w14:textId="20496D7B" w:rsidR="005459EE" w:rsidRPr="006B61A4" w:rsidRDefault="00F758CC" w:rsidP="00315808">
      <w:pPr>
        <w:pStyle w:val="ListParagraph"/>
        <w:numPr>
          <w:ilvl w:val="0"/>
          <w:numId w:val="25"/>
        </w:numPr>
        <w:jc w:val="both"/>
        <w:rPr>
          <w:rFonts w:ascii="Open Sans Light" w:hAnsi="Open Sans Light" w:cs="Open Sans Light"/>
          <w:sz w:val="20"/>
        </w:rPr>
      </w:pPr>
      <w:r w:rsidRPr="006B61A4">
        <w:rPr>
          <w:rFonts w:ascii="Open Sans Light" w:hAnsi="Open Sans Light" w:cs="Open Sans Light"/>
          <w:sz w:val="20"/>
        </w:rPr>
        <w:t xml:space="preserve">To provide </w:t>
      </w:r>
      <w:r w:rsidR="00315808" w:rsidRPr="006B61A4">
        <w:rPr>
          <w:rFonts w:ascii="Open Sans Light" w:hAnsi="Open Sans Light" w:cs="Open Sans Light"/>
          <w:sz w:val="20"/>
        </w:rPr>
        <w:t>academic tuition and guidance to students with</w:t>
      </w:r>
      <w:r w:rsidRPr="006B61A4">
        <w:rPr>
          <w:rFonts w:ascii="Open Sans Light" w:hAnsi="Open Sans Light" w:cs="Open Sans Light"/>
          <w:sz w:val="20"/>
        </w:rPr>
        <w:t xml:space="preserve"> specific learning difficulties, providing 1-1 and small group support to students with SEND.</w:t>
      </w:r>
    </w:p>
    <w:p w14:paraId="4B425F16" w14:textId="6A071468" w:rsidR="00F758CC" w:rsidRPr="006B61A4" w:rsidRDefault="00F758CC" w:rsidP="00315808">
      <w:pPr>
        <w:pStyle w:val="ListParagraph"/>
        <w:numPr>
          <w:ilvl w:val="0"/>
          <w:numId w:val="25"/>
        </w:numPr>
        <w:jc w:val="both"/>
        <w:rPr>
          <w:rFonts w:ascii="Open Sans Light" w:hAnsi="Open Sans Light" w:cs="Open Sans Light"/>
          <w:sz w:val="20"/>
        </w:rPr>
      </w:pPr>
      <w:r w:rsidRPr="006B61A4">
        <w:rPr>
          <w:rFonts w:ascii="Open Sans Light" w:hAnsi="Open Sans Light" w:cs="Open Sans Light"/>
          <w:sz w:val="20"/>
        </w:rPr>
        <w:t xml:space="preserve">Work collaboratively with the </w:t>
      </w:r>
      <w:r w:rsidR="00522973" w:rsidRPr="006B61A4">
        <w:rPr>
          <w:rFonts w:ascii="Open Sans Light" w:hAnsi="Open Sans Light" w:cs="Open Sans Light"/>
          <w:sz w:val="20"/>
        </w:rPr>
        <w:t>Inclusive learning and development Leads</w:t>
      </w:r>
      <w:r w:rsidRPr="006B61A4">
        <w:rPr>
          <w:rFonts w:ascii="Open Sans Light" w:hAnsi="Open Sans Light" w:cs="Open Sans Light"/>
          <w:sz w:val="20"/>
        </w:rPr>
        <w:t xml:space="preserve"> to implement support strategies and use the initial assessment to support curriculum planning for learning.</w:t>
      </w:r>
    </w:p>
    <w:p w14:paraId="1274B375" w14:textId="67200FE4" w:rsidR="008D213C" w:rsidRPr="006B61A4" w:rsidRDefault="005D7053" w:rsidP="00315808">
      <w:pPr>
        <w:pStyle w:val="ListParagraph"/>
        <w:numPr>
          <w:ilvl w:val="0"/>
          <w:numId w:val="25"/>
        </w:numPr>
        <w:jc w:val="both"/>
        <w:rPr>
          <w:rFonts w:ascii="Open Sans Light" w:hAnsi="Open Sans Light" w:cs="Open Sans Light"/>
          <w:sz w:val="20"/>
        </w:rPr>
      </w:pPr>
      <w:r w:rsidRPr="006B61A4">
        <w:rPr>
          <w:rFonts w:ascii="Open Sans Light" w:hAnsi="Open Sans Light" w:cs="Open Sans Light"/>
          <w:sz w:val="20"/>
        </w:rPr>
        <w:t>To lead on support for Apprentices</w:t>
      </w:r>
      <w:r w:rsidR="00F758CC" w:rsidRPr="006B61A4">
        <w:rPr>
          <w:rFonts w:ascii="Open Sans Light" w:hAnsi="Open Sans Light" w:cs="Open Sans Light"/>
          <w:sz w:val="20"/>
        </w:rPr>
        <w:t>.</w:t>
      </w:r>
    </w:p>
    <w:p w14:paraId="01CF9D05" w14:textId="77777777" w:rsidR="00F758CC" w:rsidRPr="006B61A4" w:rsidRDefault="00F758CC" w:rsidP="00315808">
      <w:pPr>
        <w:pStyle w:val="ListParagraph"/>
        <w:numPr>
          <w:ilvl w:val="0"/>
          <w:numId w:val="25"/>
        </w:numPr>
        <w:jc w:val="both"/>
        <w:rPr>
          <w:rFonts w:ascii="Open Sans Light" w:hAnsi="Open Sans Light" w:cs="Open Sans Light"/>
          <w:sz w:val="20"/>
        </w:rPr>
      </w:pPr>
      <w:r w:rsidRPr="006B61A4">
        <w:rPr>
          <w:rFonts w:ascii="Open Sans Light" w:hAnsi="Open Sans Light" w:cs="Open Sans Light"/>
          <w:sz w:val="20"/>
        </w:rPr>
        <w:t>To conduct</w:t>
      </w:r>
      <w:r w:rsidR="00BE58F7" w:rsidRPr="006B61A4">
        <w:rPr>
          <w:rFonts w:ascii="Open Sans Light" w:hAnsi="Open Sans Light" w:cs="Open Sans Light"/>
          <w:sz w:val="20"/>
        </w:rPr>
        <w:t xml:space="preserve"> assessments for Exam access arrangements.</w:t>
      </w:r>
    </w:p>
    <w:p w14:paraId="13E84BE8" w14:textId="695CF101" w:rsidR="00BE58F7" w:rsidRPr="006B61A4" w:rsidRDefault="00F758CC" w:rsidP="00315808">
      <w:pPr>
        <w:pStyle w:val="ListParagraph"/>
        <w:numPr>
          <w:ilvl w:val="0"/>
          <w:numId w:val="25"/>
        </w:numPr>
        <w:jc w:val="both"/>
        <w:rPr>
          <w:rFonts w:ascii="Open Sans Light" w:hAnsi="Open Sans Light" w:cs="Open Sans Light"/>
          <w:sz w:val="20"/>
        </w:rPr>
      </w:pPr>
      <w:r w:rsidRPr="006B61A4">
        <w:rPr>
          <w:rFonts w:ascii="Open Sans Light" w:hAnsi="Open Sans Light" w:cs="Open Sans Light"/>
          <w:sz w:val="20"/>
        </w:rPr>
        <w:t>To maintain up to date knowledge of available assistive technology and other learning resources available for students</w:t>
      </w:r>
      <w:r w:rsidR="00CE3F4B" w:rsidRPr="006B61A4">
        <w:rPr>
          <w:rFonts w:ascii="Open Sans Light" w:hAnsi="Open Sans Light" w:cs="Open Sans Light"/>
          <w:sz w:val="20"/>
        </w:rPr>
        <w:t xml:space="preserve"> in Fu</w:t>
      </w:r>
      <w:r w:rsidRPr="006B61A4">
        <w:rPr>
          <w:rFonts w:ascii="Open Sans Light" w:hAnsi="Open Sans Light" w:cs="Open Sans Light"/>
          <w:sz w:val="20"/>
        </w:rPr>
        <w:t>rther Education</w:t>
      </w:r>
      <w:r w:rsidR="00522973" w:rsidRPr="006B61A4">
        <w:rPr>
          <w:rFonts w:ascii="Open Sans Light" w:hAnsi="Open Sans Light" w:cs="Open Sans Light"/>
          <w:sz w:val="20"/>
        </w:rPr>
        <w:t xml:space="preserve">, Higher education </w:t>
      </w:r>
      <w:r w:rsidRPr="006B61A4">
        <w:rPr>
          <w:rFonts w:ascii="Open Sans Light" w:hAnsi="Open Sans Light" w:cs="Open Sans Light"/>
          <w:sz w:val="20"/>
        </w:rPr>
        <w:t>and Apprentices.</w:t>
      </w:r>
    </w:p>
    <w:p w14:paraId="26D6B06A" w14:textId="77777777" w:rsidR="00315808" w:rsidRPr="006B61A4" w:rsidRDefault="00315808" w:rsidP="00B26C4A">
      <w:pPr>
        <w:spacing w:after="0" w:line="240" w:lineRule="auto"/>
        <w:jc w:val="both"/>
        <w:rPr>
          <w:rFonts w:ascii="Open Sans Light" w:eastAsia="Calibri" w:hAnsi="Open Sans Light" w:cs="Open Sans Light"/>
          <w:sz w:val="20"/>
          <w:szCs w:val="20"/>
        </w:rPr>
      </w:pPr>
    </w:p>
    <w:p w14:paraId="153AA049" w14:textId="77777777" w:rsidR="00137858" w:rsidRPr="006B61A4" w:rsidRDefault="00B26D97" w:rsidP="00137858">
      <w:pPr>
        <w:spacing w:after="0" w:line="240" w:lineRule="auto"/>
        <w:rPr>
          <w:rFonts w:ascii="Open Sans Light" w:eastAsia="Calibri" w:hAnsi="Open Sans Light" w:cs="Open Sans Light"/>
          <w:b/>
          <w:sz w:val="20"/>
          <w:szCs w:val="20"/>
        </w:rPr>
      </w:pPr>
      <w:r w:rsidRPr="006B61A4">
        <w:rPr>
          <w:rFonts w:ascii="Open Sans Light" w:eastAsia="Calibri" w:hAnsi="Open Sans Light" w:cs="Open Sans Light"/>
          <w:b/>
          <w:sz w:val="20"/>
          <w:szCs w:val="20"/>
        </w:rPr>
        <w:t>Duties and Responsibilities of the J</w:t>
      </w:r>
      <w:r w:rsidR="00137858" w:rsidRPr="006B61A4">
        <w:rPr>
          <w:rFonts w:ascii="Open Sans Light" w:eastAsia="Calibri" w:hAnsi="Open Sans Light" w:cs="Open Sans Light"/>
          <w:b/>
          <w:sz w:val="20"/>
          <w:szCs w:val="20"/>
        </w:rPr>
        <w:t>ob</w:t>
      </w:r>
    </w:p>
    <w:p w14:paraId="0523D8D4" w14:textId="77777777" w:rsidR="00123E57" w:rsidRPr="006B61A4" w:rsidRDefault="00123E57" w:rsidP="00137858">
      <w:pPr>
        <w:spacing w:after="0" w:line="240" w:lineRule="auto"/>
        <w:rPr>
          <w:rFonts w:ascii="Open Sans Light" w:eastAsia="Calibri" w:hAnsi="Open Sans Light" w:cs="Open Sans Light"/>
          <w:b/>
          <w:sz w:val="20"/>
          <w:szCs w:val="20"/>
        </w:rPr>
      </w:pPr>
    </w:p>
    <w:tbl>
      <w:tblPr>
        <w:tblStyle w:val="TableGrid"/>
        <w:tblW w:w="9630" w:type="dxa"/>
        <w:tblInd w:w="-9" w:type="dxa"/>
        <w:tblLook w:val="04A0" w:firstRow="1" w:lastRow="0" w:firstColumn="1" w:lastColumn="0" w:noHBand="0" w:noVBand="1"/>
      </w:tblPr>
      <w:tblGrid>
        <w:gridCol w:w="9630"/>
      </w:tblGrid>
      <w:tr w:rsidR="00CB4249" w:rsidRPr="006B61A4" w14:paraId="750B5FF2" w14:textId="77777777" w:rsidTr="00565779">
        <w:tc>
          <w:tcPr>
            <w:tcW w:w="9630" w:type="dxa"/>
          </w:tcPr>
          <w:p w14:paraId="4B41FB5B" w14:textId="77777777" w:rsidR="00315808" w:rsidRPr="006B61A4" w:rsidRDefault="00315808" w:rsidP="00315808">
            <w:pPr>
              <w:numPr>
                <w:ilvl w:val="0"/>
                <w:numId w:val="22"/>
              </w:numPr>
              <w:rPr>
                <w:rFonts w:ascii="Open Sans Light" w:hAnsi="Open Sans Light" w:cs="Open Sans Light"/>
                <w:sz w:val="20"/>
                <w:szCs w:val="20"/>
              </w:rPr>
            </w:pPr>
            <w:r w:rsidRPr="006B61A4">
              <w:rPr>
                <w:rFonts w:ascii="Open Sans Light" w:hAnsi="Open Sans Light" w:cs="Open Sans Light"/>
                <w:sz w:val="20"/>
                <w:szCs w:val="20"/>
              </w:rPr>
              <w:t>To undertake initial assessment of new/prospective students as required including Exam access arrangements</w:t>
            </w:r>
          </w:p>
          <w:p w14:paraId="3D54B0B2" w14:textId="77777777" w:rsidR="00CB4249" w:rsidRPr="006B61A4" w:rsidRDefault="00CB4249" w:rsidP="00315808">
            <w:pPr>
              <w:ind w:left="360"/>
              <w:rPr>
                <w:rFonts w:ascii="Open Sans Light" w:hAnsi="Open Sans Light" w:cs="Open Sans Light"/>
                <w:sz w:val="20"/>
                <w:szCs w:val="20"/>
              </w:rPr>
            </w:pPr>
          </w:p>
        </w:tc>
      </w:tr>
      <w:tr w:rsidR="00315808" w:rsidRPr="006B61A4" w14:paraId="6B96E6F5" w14:textId="77777777" w:rsidTr="00565779">
        <w:tc>
          <w:tcPr>
            <w:tcW w:w="9630" w:type="dxa"/>
          </w:tcPr>
          <w:p w14:paraId="506CCB76" w14:textId="07AD67C9" w:rsidR="00315808" w:rsidRPr="006B61A4" w:rsidRDefault="00315808" w:rsidP="00315808">
            <w:pPr>
              <w:numPr>
                <w:ilvl w:val="0"/>
                <w:numId w:val="22"/>
              </w:numPr>
              <w:rPr>
                <w:rFonts w:ascii="Open Sans Light" w:hAnsi="Open Sans Light" w:cs="Open Sans Light"/>
                <w:sz w:val="20"/>
                <w:szCs w:val="20"/>
              </w:rPr>
            </w:pPr>
            <w:r w:rsidRPr="006B61A4">
              <w:rPr>
                <w:rFonts w:ascii="Open Sans Light" w:hAnsi="Open Sans Light" w:cs="Open Sans Light"/>
                <w:sz w:val="20"/>
                <w:szCs w:val="20"/>
              </w:rPr>
              <w:t xml:space="preserve">To design and implement programmes of student learning helping them to develop skills including reading, writing spelling, study skills, IT, time management, revision and exam techniques. This may be </w:t>
            </w:r>
            <w:r w:rsidR="00CE3F4B" w:rsidRPr="006B61A4">
              <w:rPr>
                <w:rFonts w:ascii="Open Sans Light" w:hAnsi="Open Sans Light" w:cs="Open Sans Light"/>
                <w:sz w:val="20"/>
                <w:szCs w:val="20"/>
              </w:rPr>
              <w:t>embedded either</w:t>
            </w:r>
            <w:r w:rsidRPr="006B61A4">
              <w:rPr>
                <w:rFonts w:ascii="Open Sans Light" w:hAnsi="Open Sans Light" w:cs="Open Sans Light"/>
                <w:sz w:val="20"/>
                <w:szCs w:val="20"/>
              </w:rPr>
              <w:t xml:space="preserve"> in </w:t>
            </w:r>
            <w:r w:rsidR="00CE3F4B" w:rsidRPr="006B61A4">
              <w:rPr>
                <w:rFonts w:ascii="Open Sans Light" w:hAnsi="Open Sans Light" w:cs="Open Sans Light"/>
                <w:sz w:val="20"/>
                <w:szCs w:val="20"/>
              </w:rPr>
              <w:t>students’</w:t>
            </w:r>
            <w:r w:rsidRPr="006B61A4">
              <w:rPr>
                <w:rFonts w:ascii="Open Sans Light" w:hAnsi="Open Sans Light" w:cs="Open Sans Light"/>
                <w:sz w:val="20"/>
                <w:szCs w:val="20"/>
              </w:rPr>
              <w:t xml:space="preserve"> course material or by following other programmes.</w:t>
            </w:r>
          </w:p>
          <w:p w14:paraId="78C65424" w14:textId="77777777" w:rsidR="00315808" w:rsidRPr="006B61A4" w:rsidRDefault="00315808" w:rsidP="00315808">
            <w:pPr>
              <w:ind w:left="360"/>
              <w:rPr>
                <w:rFonts w:ascii="Open Sans Light" w:hAnsi="Open Sans Light" w:cs="Open Sans Light"/>
                <w:sz w:val="20"/>
                <w:szCs w:val="20"/>
              </w:rPr>
            </w:pPr>
          </w:p>
        </w:tc>
      </w:tr>
      <w:tr w:rsidR="00315808" w:rsidRPr="006B61A4" w14:paraId="167D3398" w14:textId="77777777" w:rsidTr="00565779">
        <w:tc>
          <w:tcPr>
            <w:tcW w:w="9630" w:type="dxa"/>
          </w:tcPr>
          <w:p w14:paraId="172724D7" w14:textId="1582D8A1" w:rsidR="00315808" w:rsidRPr="006B61A4" w:rsidRDefault="00315808" w:rsidP="00BE58F7">
            <w:pPr>
              <w:numPr>
                <w:ilvl w:val="0"/>
                <w:numId w:val="22"/>
              </w:numPr>
              <w:jc w:val="both"/>
              <w:rPr>
                <w:rFonts w:ascii="Open Sans Light" w:hAnsi="Open Sans Light" w:cs="Open Sans Light"/>
                <w:sz w:val="20"/>
                <w:szCs w:val="20"/>
              </w:rPr>
            </w:pPr>
            <w:r w:rsidRPr="006B61A4">
              <w:rPr>
                <w:rFonts w:ascii="Open Sans Light" w:hAnsi="Open Sans Light" w:cs="Open Sans Light"/>
                <w:sz w:val="20"/>
                <w:szCs w:val="20"/>
              </w:rPr>
              <w:t xml:space="preserve">To lead on developing small group intervention sessions for students with </w:t>
            </w:r>
            <w:proofErr w:type="spellStart"/>
            <w:r w:rsidRPr="006B61A4">
              <w:rPr>
                <w:rFonts w:ascii="Open Sans Light" w:hAnsi="Open Sans Light" w:cs="Open Sans Light"/>
                <w:sz w:val="20"/>
                <w:szCs w:val="20"/>
              </w:rPr>
              <w:t>S</w:t>
            </w:r>
            <w:r w:rsidR="00BE58F7" w:rsidRPr="006B61A4">
              <w:rPr>
                <w:rFonts w:ascii="Open Sans Light" w:hAnsi="Open Sans Light" w:cs="Open Sans Light"/>
                <w:sz w:val="20"/>
                <w:szCs w:val="20"/>
              </w:rPr>
              <w:t>pLD</w:t>
            </w:r>
            <w:proofErr w:type="spellEnd"/>
            <w:r w:rsidRPr="006B61A4">
              <w:rPr>
                <w:rFonts w:ascii="Open Sans Light" w:hAnsi="Open Sans Light" w:cs="Open Sans Light"/>
                <w:sz w:val="20"/>
                <w:szCs w:val="20"/>
              </w:rPr>
              <w:t xml:space="preserve"> and devise topic</w:t>
            </w:r>
            <w:r w:rsidR="006B61A4">
              <w:rPr>
                <w:rFonts w:ascii="Open Sans Light" w:hAnsi="Open Sans Light" w:cs="Open Sans Light"/>
                <w:sz w:val="20"/>
                <w:szCs w:val="20"/>
              </w:rPr>
              <w:t>-</w:t>
            </w:r>
            <w:r w:rsidRPr="006B61A4">
              <w:rPr>
                <w:rFonts w:ascii="Open Sans Light" w:hAnsi="Open Sans Light" w:cs="Open Sans Light"/>
                <w:sz w:val="20"/>
                <w:szCs w:val="20"/>
              </w:rPr>
              <w:t>based workshops for groups of students with similar support needs.</w:t>
            </w:r>
          </w:p>
          <w:p w14:paraId="53BD0BDE" w14:textId="77777777" w:rsidR="00315808" w:rsidRPr="006B61A4" w:rsidRDefault="00315808" w:rsidP="00315808">
            <w:pPr>
              <w:ind w:left="360"/>
              <w:rPr>
                <w:rFonts w:ascii="Open Sans Light" w:hAnsi="Open Sans Light" w:cs="Open Sans Light"/>
                <w:sz w:val="20"/>
                <w:szCs w:val="20"/>
              </w:rPr>
            </w:pPr>
          </w:p>
        </w:tc>
      </w:tr>
      <w:tr w:rsidR="00315808" w:rsidRPr="006B61A4" w14:paraId="7C9FE2DB" w14:textId="77777777" w:rsidTr="00565779">
        <w:tc>
          <w:tcPr>
            <w:tcW w:w="9630" w:type="dxa"/>
          </w:tcPr>
          <w:p w14:paraId="5C310FEE" w14:textId="77777777" w:rsidR="00315808" w:rsidRPr="006B61A4" w:rsidRDefault="00315808" w:rsidP="00315808">
            <w:pPr>
              <w:numPr>
                <w:ilvl w:val="0"/>
                <w:numId w:val="22"/>
              </w:numPr>
              <w:rPr>
                <w:rFonts w:ascii="Open Sans Light" w:hAnsi="Open Sans Light" w:cs="Open Sans Light"/>
                <w:sz w:val="20"/>
                <w:szCs w:val="20"/>
              </w:rPr>
            </w:pPr>
            <w:r w:rsidRPr="006B61A4">
              <w:rPr>
                <w:rFonts w:ascii="Open Sans Light" w:hAnsi="Open Sans Light" w:cs="Open Sans Light"/>
                <w:sz w:val="20"/>
                <w:szCs w:val="20"/>
              </w:rPr>
              <w:t>To lead on developing strategies for students with SEMH and to run small group sessions</w:t>
            </w:r>
          </w:p>
          <w:p w14:paraId="613D02C3" w14:textId="77777777" w:rsidR="00315808" w:rsidRPr="006B61A4" w:rsidRDefault="00315808" w:rsidP="00315808">
            <w:pPr>
              <w:ind w:left="360"/>
              <w:rPr>
                <w:rFonts w:ascii="Open Sans Light" w:hAnsi="Open Sans Light" w:cs="Open Sans Light"/>
                <w:sz w:val="20"/>
                <w:szCs w:val="20"/>
              </w:rPr>
            </w:pPr>
          </w:p>
        </w:tc>
      </w:tr>
      <w:tr w:rsidR="0017023D" w:rsidRPr="006B61A4" w14:paraId="48E0A6C2" w14:textId="77777777" w:rsidTr="00565779">
        <w:tc>
          <w:tcPr>
            <w:tcW w:w="9630" w:type="dxa"/>
          </w:tcPr>
          <w:p w14:paraId="1CCEDA9B" w14:textId="77777777" w:rsidR="00315808" w:rsidRPr="006B61A4" w:rsidRDefault="00315808" w:rsidP="00315808">
            <w:pPr>
              <w:numPr>
                <w:ilvl w:val="0"/>
                <w:numId w:val="22"/>
              </w:numPr>
              <w:rPr>
                <w:rFonts w:ascii="Open Sans Light" w:hAnsi="Open Sans Light" w:cs="Open Sans Light"/>
                <w:sz w:val="20"/>
                <w:szCs w:val="20"/>
              </w:rPr>
            </w:pPr>
            <w:r w:rsidRPr="006B61A4">
              <w:rPr>
                <w:rFonts w:ascii="Open Sans Light" w:hAnsi="Open Sans Light" w:cs="Open Sans Light"/>
                <w:sz w:val="20"/>
                <w:szCs w:val="20"/>
              </w:rPr>
              <w:t>To achieve and maintain personal teaching at “good” or above.</w:t>
            </w:r>
          </w:p>
          <w:p w14:paraId="46A52747" w14:textId="77777777" w:rsidR="0017023D" w:rsidRPr="006B61A4" w:rsidRDefault="0017023D" w:rsidP="00315808">
            <w:pPr>
              <w:pStyle w:val="ListParagraph"/>
              <w:overflowPunct/>
              <w:autoSpaceDE/>
              <w:autoSpaceDN/>
              <w:adjustRightInd/>
              <w:ind w:left="360"/>
              <w:contextualSpacing/>
              <w:textAlignment w:val="auto"/>
              <w:rPr>
                <w:rFonts w:ascii="Open Sans Light" w:hAnsi="Open Sans Light" w:cs="Open Sans Light"/>
                <w:sz w:val="20"/>
              </w:rPr>
            </w:pPr>
          </w:p>
        </w:tc>
      </w:tr>
      <w:tr w:rsidR="008B73C3" w:rsidRPr="006B61A4" w14:paraId="096141B3" w14:textId="77777777" w:rsidTr="00565779">
        <w:tc>
          <w:tcPr>
            <w:tcW w:w="9630" w:type="dxa"/>
          </w:tcPr>
          <w:p w14:paraId="6D6A43C1" w14:textId="3DE9C2AC" w:rsidR="00315808" w:rsidRPr="006B61A4" w:rsidRDefault="00315808" w:rsidP="00315808">
            <w:pPr>
              <w:numPr>
                <w:ilvl w:val="0"/>
                <w:numId w:val="22"/>
              </w:numPr>
              <w:rPr>
                <w:rFonts w:ascii="Open Sans Light" w:hAnsi="Open Sans Light" w:cs="Open Sans Light"/>
                <w:sz w:val="20"/>
                <w:szCs w:val="20"/>
              </w:rPr>
            </w:pPr>
            <w:r w:rsidRPr="006B61A4">
              <w:rPr>
                <w:rFonts w:ascii="Open Sans Light" w:hAnsi="Open Sans Light" w:cs="Open Sans Light"/>
                <w:sz w:val="20"/>
                <w:szCs w:val="20"/>
              </w:rPr>
              <w:lastRenderedPageBreak/>
              <w:t xml:space="preserve">To deliver, monitor and </w:t>
            </w:r>
            <w:r w:rsidR="00522973" w:rsidRPr="006B61A4">
              <w:rPr>
                <w:rFonts w:ascii="Open Sans Light" w:hAnsi="Open Sans Light" w:cs="Open Sans Light"/>
                <w:sz w:val="20"/>
                <w:szCs w:val="20"/>
              </w:rPr>
              <w:t>evaluate support</w:t>
            </w:r>
            <w:r w:rsidRPr="006B61A4">
              <w:rPr>
                <w:rFonts w:ascii="Open Sans Light" w:hAnsi="Open Sans Light" w:cs="Open Sans Light"/>
                <w:sz w:val="20"/>
                <w:szCs w:val="20"/>
              </w:rPr>
              <w:t xml:space="preserve"> for students on a one to one basis </w:t>
            </w:r>
          </w:p>
          <w:p w14:paraId="20B636CE" w14:textId="77777777" w:rsidR="008B73C3" w:rsidRPr="006B61A4" w:rsidRDefault="008B73C3" w:rsidP="00315808">
            <w:pPr>
              <w:pStyle w:val="ListParagraph"/>
              <w:overflowPunct/>
              <w:autoSpaceDE/>
              <w:autoSpaceDN/>
              <w:adjustRightInd/>
              <w:ind w:left="360"/>
              <w:contextualSpacing/>
              <w:textAlignment w:val="auto"/>
              <w:rPr>
                <w:rFonts w:ascii="Open Sans Light" w:hAnsi="Open Sans Light" w:cs="Open Sans Light"/>
                <w:sz w:val="20"/>
              </w:rPr>
            </w:pPr>
          </w:p>
        </w:tc>
      </w:tr>
      <w:tr w:rsidR="00565779" w:rsidRPr="006B61A4" w14:paraId="01EA5C49" w14:textId="77777777" w:rsidTr="00565779">
        <w:tc>
          <w:tcPr>
            <w:tcW w:w="9630" w:type="dxa"/>
          </w:tcPr>
          <w:p w14:paraId="732220BA" w14:textId="34EFBDD5" w:rsidR="00315808" w:rsidRPr="006B61A4" w:rsidRDefault="00522973" w:rsidP="00315808">
            <w:pPr>
              <w:numPr>
                <w:ilvl w:val="0"/>
                <w:numId w:val="22"/>
              </w:numPr>
              <w:rPr>
                <w:rFonts w:ascii="Open Sans Light" w:hAnsi="Open Sans Light" w:cs="Open Sans Light"/>
                <w:sz w:val="20"/>
                <w:szCs w:val="20"/>
              </w:rPr>
            </w:pPr>
            <w:r w:rsidRPr="006B61A4">
              <w:rPr>
                <w:rFonts w:ascii="Open Sans Light" w:hAnsi="Open Sans Light" w:cs="Open Sans Light"/>
                <w:sz w:val="20"/>
                <w:szCs w:val="20"/>
              </w:rPr>
              <w:t>To provide</w:t>
            </w:r>
            <w:r w:rsidR="00315808" w:rsidRPr="006B61A4">
              <w:rPr>
                <w:rFonts w:ascii="Open Sans Light" w:hAnsi="Open Sans Light" w:cs="Open Sans Light"/>
                <w:sz w:val="20"/>
                <w:szCs w:val="20"/>
              </w:rPr>
              <w:t xml:space="preserve"> literacy, numeracy and/or study skills drop in sessions for small groups of students</w:t>
            </w:r>
          </w:p>
          <w:p w14:paraId="7F4E8251" w14:textId="77777777" w:rsidR="00565779" w:rsidRPr="006B61A4" w:rsidRDefault="00565779" w:rsidP="00315808">
            <w:pPr>
              <w:pStyle w:val="ListParagraph"/>
              <w:overflowPunct/>
              <w:autoSpaceDE/>
              <w:autoSpaceDN/>
              <w:adjustRightInd/>
              <w:ind w:left="360"/>
              <w:contextualSpacing/>
              <w:textAlignment w:val="auto"/>
              <w:rPr>
                <w:rFonts w:ascii="Open Sans Light" w:hAnsi="Open Sans Light" w:cs="Open Sans Light"/>
                <w:sz w:val="20"/>
              </w:rPr>
            </w:pPr>
          </w:p>
        </w:tc>
      </w:tr>
      <w:tr w:rsidR="00565779" w:rsidRPr="006B61A4" w14:paraId="1D265B21" w14:textId="77777777" w:rsidTr="00565779">
        <w:tc>
          <w:tcPr>
            <w:tcW w:w="9630" w:type="dxa"/>
          </w:tcPr>
          <w:p w14:paraId="16E2FD91" w14:textId="77777777" w:rsidR="00565779" w:rsidRPr="006B61A4" w:rsidRDefault="00315808" w:rsidP="00315808">
            <w:pPr>
              <w:numPr>
                <w:ilvl w:val="0"/>
                <w:numId w:val="22"/>
              </w:numPr>
              <w:rPr>
                <w:rFonts w:ascii="Open Sans Light" w:hAnsi="Open Sans Light" w:cs="Open Sans Light"/>
                <w:sz w:val="20"/>
                <w:szCs w:val="20"/>
              </w:rPr>
            </w:pPr>
            <w:r w:rsidRPr="006B61A4">
              <w:rPr>
                <w:rFonts w:ascii="Open Sans Light" w:hAnsi="Open Sans Light" w:cs="Open Sans Light"/>
                <w:sz w:val="20"/>
                <w:szCs w:val="20"/>
              </w:rPr>
              <w:t>To assess and review student learning and to meet regularly with students to ensure rapid progress from the starting point.</w:t>
            </w:r>
          </w:p>
        </w:tc>
      </w:tr>
      <w:tr w:rsidR="00565779" w:rsidRPr="006B61A4" w14:paraId="7265FE8A" w14:textId="77777777" w:rsidTr="00565779">
        <w:tc>
          <w:tcPr>
            <w:tcW w:w="9630" w:type="dxa"/>
          </w:tcPr>
          <w:p w14:paraId="6382B4FD" w14:textId="4A52DEE7" w:rsidR="00315808" w:rsidRPr="006B61A4" w:rsidRDefault="00315808" w:rsidP="00315808">
            <w:pPr>
              <w:numPr>
                <w:ilvl w:val="0"/>
                <w:numId w:val="22"/>
              </w:numPr>
              <w:rPr>
                <w:rFonts w:ascii="Open Sans Light" w:hAnsi="Open Sans Light" w:cs="Open Sans Light"/>
                <w:sz w:val="20"/>
                <w:szCs w:val="20"/>
              </w:rPr>
            </w:pPr>
            <w:r w:rsidRPr="006B61A4">
              <w:rPr>
                <w:rFonts w:ascii="Open Sans Light" w:hAnsi="Open Sans Light" w:cs="Open Sans Light"/>
                <w:sz w:val="20"/>
                <w:szCs w:val="20"/>
              </w:rPr>
              <w:t>To ensure the accurate completion of all re</w:t>
            </w:r>
            <w:r w:rsidR="00C8605A" w:rsidRPr="006B61A4">
              <w:rPr>
                <w:rFonts w:ascii="Open Sans Light" w:hAnsi="Open Sans Light" w:cs="Open Sans Light"/>
                <w:sz w:val="20"/>
                <w:szCs w:val="20"/>
              </w:rPr>
              <w:t xml:space="preserve">cords, EHCP review reports </w:t>
            </w:r>
            <w:r w:rsidRPr="006B61A4">
              <w:rPr>
                <w:rFonts w:ascii="Open Sans Light" w:hAnsi="Open Sans Light" w:cs="Open Sans Light"/>
                <w:sz w:val="20"/>
                <w:szCs w:val="20"/>
              </w:rPr>
              <w:t xml:space="preserve">as required </w:t>
            </w:r>
          </w:p>
          <w:p w14:paraId="28662A00" w14:textId="77777777" w:rsidR="00565779" w:rsidRPr="006B61A4" w:rsidRDefault="00565779" w:rsidP="00315808">
            <w:pPr>
              <w:pStyle w:val="ListParagraph"/>
              <w:overflowPunct/>
              <w:autoSpaceDE/>
              <w:autoSpaceDN/>
              <w:adjustRightInd/>
              <w:ind w:left="360"/>
              <w:contextualSpacing/>
              <w:textAlignment w:val="auto"/>
              <w:rPr>
                <w:rFonts w:ascii="Open Sans Light" w:hAnsi="Open Sans Light" w:cs="Open Sans Light"/>
                <w:sz w:val="20"/>
              </w:rPr>
            </w:pPr>
          </w:p>
        </w:tc>
      </w:tr>
      <w:tr w:rsidR="00006F23" w:rsidRPr="006B61A4" w14:paraId="54951F63" w14:textId="77777777" w:rsidTr="00565779">
        <w:tc>
          <w:tcPr>
            <w:tcW w:w="9630" w:type="dxa"/>
          </w:tcPr>
          <w:p w14:paraId="156B6883" w14:textId="363B6370" w:rsidR="00006F23" w:rsidRPr="006B61A4" w:rsidRDefault="00315808" w:rsidP="00CE3F4B">
            <w:pPr>
              <w:numPr>
                <w:ilvl w:val="0"/>
                <w:numId w:val="22"/>
              </w:numPr>
              <w:rPr>
                <w:rFonts w:ascii="Open Sans Light" w:hAnsi="Open Sans Light" w:cs="Open Sans Light"/>
                <w:sz w:val="20"/>
                <w:szCs w:val="20"/>
              </w:rPr>
            </w:pPr>
            <w:r w:rsidRPr="006B61A4">
              <w:rPr>
                <w:rFonts w:ascii="Open Sans Light" w:hAnsi="Open Sans Light" w:cs="Open Sans Light"/>
                <w:sz w:val="20"/>
                <w:szCs w:val="20"/>
              </w:rPr>
              <w:t>To attend and contribute to A</w:t>
            </w:r>
            <w:r w:rsidR="00CE3F4B" w:rsidRPr="006B61A4">
              <w:rPr>
                <w:rFonts w:ascii="Open Sans Light" w:hAnsi="Open Sans Light" w:cs="Open Sans Light"/>
                <w:sz w:val="20"/>
                <w:szCs w:val="20"/>
              </w:rPr>
              <w:t>LS team meetings and where required curriculum area meetings to ensure collaborative and collegiate approach to removing barriers to learning.</w:t>
            </w:r>
          </w:p>
        </w:tc>
      </w:tr>
      <w:tr w:rsidR="00315808" w:rsidRPr="006B61A4" w14:paraId="230CCB38" w14:textId="77777777" w:rsidTr="00565779">
        <w:tc>
          <w:tcPr>
            <w:tcW w:w="9630" w:type="dxa"/>
          </w:tcPr>
          <w:p w14:paraId="77E202D6" w14:textId="77777777" w:rsidR="00315808" w:rsidRPr="006B61A4" w:rsidRDefault="00315808" w:rsidP="00315808">
            <w:pPr>
              <w:numPr>
                <w:ilvl w:val="0"/>
                <w:numId w:val="22"/>
              </w:numPr>
              <w:rPr>
                <w:rFonts w:ascii="Open Sans Light" w:hAnsi="Open Sans Light" w:cs="Open Sans Light"/>
                <w:sz w:val="20"/>
                <w:szCs w:val="20"/>
              </w:rPr>
            </w:pPr>
            <w:r w:rsidRPr="006B61A4">
              <w:rPr>
                <w:rFonts w:ascii="Open Sans Light" w:hAnsi="Open Sans Light" w:cs="Open Sans Light"/>
                <w:sz w:val="20"/>
                <w:szCs w:val="20"/>
              </w:rPr>
              <w:t>To prepare, manage and maintain allocated learning environments and resources</w:t>
            </w:r>
          </w:p>
          <w:p w14:paraId="3493BED5" w14:textId="77777777" w:rsidR="00315808" w:rsidRPr="006B61A4" w:rsidRDefault="00315808" w:rsidP="00315808">
            <w:pPr>
              <w:ind w:left="360"/>
              <w:rPr>
                <w:rFonts w:ascii="Open Sans Light" w:hAnsi="Open Sans Light" w:cs="Open Sans Light"/>
                <w:sz w:val="20"/>
                <w:szCs w:val="20"/>
              </w:rPr>
            </w:pPr>
          </w:p>
        </w:tc>
      </w:tr>
      <w:tr w:rsidR="0055099F" w:rsidRPr="006B61A4" w14:paraId="2358F3B2" w14:textId="77777777" w:rsidTr="00565779">
        <w:tc>
          <w:tcPr>
            <w:tcW w:w="9630" w:type="dxa"/>
          </w:tcPr>
          <w:p w14:paraId="3CDCF504" w14:textId="77777777" w:rsidR="00315808" w:rsidRPr="006B61A4" w:rsidRDefault="00315808" w:rsidP="00315808">
            <w:pPr>
              <w:numPr>
                <w:ilvl w:val="0"/>
                <w:numId w:val="22"/>
              </w:numPr>
              <w:rPr>
                <w:rFonts w:ascii="Open Sans Light" w:hAnsi="Open Sans Light" w:cs="Open Sans Light"/>
                <w:sz w:val="20"/>
                <w:szCs w:val="20"/>
              </w:rPr>
            </w:pPr>
            <w:r w:rsidRPr="006B61A4">
              <w:rPr>
                <w:rFonts w:ascii="Open Sans Light" w:hAnsi="Open Sans Light" w:cs="Open Sans Light"/>
                <w:sz w:val="20"/>
                <w:szCs w:val="20"/>
              </w:rPr>
              <w:t>To record and monitor student attendance and progress in close liaison with the course tutor</w:t>
            </w:r>
          </w:p>
          <w:p w14:paraId="03B073D9" w14:textId="77777777" w:rsidR="0055099F" w:rsidRPr="006B61A4" w:rsidRDefault="0055099F" w:rsidP="00315808">
            <w:pPr>
              <w:pStyle w:val="ListParagraph"/>
              <w:overflowPunct/>
              <w:autoSpaceDE/>
              <w:autoSpaceDN/>
              <w:adjustRightInd/>
              <w:ind w:left="360"/>
              <w:contextualSpacing/>
              <w:textAlignment w:val="auto"/>
              <w:rPr>
                <w:rFonts w:ascii="Open Sans Light" w:hAnsi="Open Sans Light" w:cs="Open Sans Light"/>
                <w:sz w:val="20"/>
              </w:rPr>
            </w:pPr>
          </w:p>
        </w:tc>
      </w:tr>
      <w:tr w:rsidR="0055099F" w:rsidRPr="006B61A4" w14:paraId="0D8137DA" w14:textId="77777777" w:rsidTr="00565779">
        <w:tc>
          <w:tcPr>
            <w:tcW w:w="9630" w:type="dxa"/>
          </w:tcPr>
          <w:p w14:paraId="2689BF6B" w14:textId="77777777" w:rsidR="0055099F" w:rsidRPr="006B61A4" w:rsidRDefault="00315808" w:rsidP="00315808">
            <w:pPr>
              <w:numPr>
                <w:ilvl w:val="0"/>
                <w:numId w:val="22"/>
              </w:numPr>
              <w:rPr>
                <w:rFonts w:ascii="Open Sans Light" w:hAnsi="Open Sans Light" w:cs="Open Sans Light"/>
                <w:sz w:val="20"/>
                <w:szCs w:val="20"/>
              </w:rPr>
            </w:pPr>
            <w:r w:rsidRPr="006B61A4">
              <w:rPr>
                <w:rFonts w:ascii="Open Sans Light" w:hAnsi="Open Sans Light" w:cs="Open Sans Light"/>
                <w:sz w:val="20"/>
                <w:szCs w:val="20"/>
              </w:rPr>
              <w:t>To help develop and provide training and support for College staff on strategies in the classroom for students with SEMH dyslexia awareness, disability and learning support awareness, including differentiated learning in order to maximise the quality, effectiveness and efficiency of the service</w:t>
            </w:r>
          </w:p>
        </w:tc>
      </w:tr>
      <w:tr w:rsidR="0055099F" w:rsidRPr="006B61A4" w14:paraId="3305D2A5" w14:textId="77777777" w:rsidTr="00565779">
        <w:tc>
          <w:tcPr>
            <w:tcW w:w="9630" w:type="dxa"/>
          </w:tcPr>
          <w:p w14:paraId="314860B7" w14:textId="77777777" w:rsidR="00315808" w:rsidRPr="006B61A4" w:rsidRDefault="00315808" w:rsidP="00315808">
            <w:pPr>
              <w:numPr>
                <w:ilvl w:val="0"/>
                <w:numId w:val="22"/>
              </w:numPr>
              <w:rPr>
                <w:rFonts w:ascii="Open Sans Light" w:hAnsi="Open Sans Light" w:cs="Open Sans Light"/>
                <w:sz w:val="20"/>
                <w:szCs w:val="20"/>
              </w:rPr>
            </w:pPr>
            <w:r w:rsidRPr="006B61A4">
              <w:rPr>
                <w:rFonts w:ascii="Open Sans Light" w:hAnsi="Open Sans Light" w:cs="Open Sans Light"/>
                <w:sz w:val="20"/>
                <w:szCs w:val="20"/>
              </w:rPr>
              <w:t>To review individual student performance at agreed points in the year</w:t>
            </w:r>
          </w:p>
          <w:p w14:paraId="40B32100" w14:textId="77777777" w:rsidR="0055099F" w:rsidRPr="006B61A4" w:rsidRDefault="0055099F" w:rsidP="00315808">
            <w:pPr>
              <w:pStyle w:val="ListParagraph"/>
              <w:overflowPunct/>
              <w:autoSpaceDE/>
              <w:autoSpaceDN/>
              <w:adjustRightInd/>
              <w:ind w:left="360"/>
              <w:contextualSpacing/>
              <w:textAlignment w:val="auto"/>
              <w:rPr>
                <w:rFonts w:ascii="Open Sans Light" w:hAnsi="Open Sans Light" w:cs="Open Sans Light"/>
                <w:sz w:val="20"/>
              </w:rPr>
            </w:pPr>
          </w:p>
        </w:tc>
      </w:tr>
      <w:tr w:rsidR="0055099F" w:rsidRPr="006B61A4" w14:paraId="1308CCCF" w14:textId="77777777" w:rsidTr="00565779">
        <w:tc>
          <w:tcPr>
            <w:tcW w:w="9630" w:type="dxa"/>
          </w:tcPr>
          <w:p w14:paraId="016ECF06" w14:textId="0A37FBC6" w:rsidR="0055099F" w:rsidRPr="006B61A4" w:rsidRDefault="00315808" w:rsidP="00315808">
            <w:pPr>
              <w:numPr>
                <w:ilvl w:val="0"/>
                <w:numId w:val="22"/>
              </w:numPr>
              <w:rPr>
                <w:rFonts w:ascii="Open Sans Light" w:hAnsi="Open Sans Light" w:cs="Open Sans Light"/>
                <w:sz w:val="20"/>
                <w:szCs w:val="20"/>
              </w:rPr>
            </w:pPr>
            <w:r w:rsidRPr="006B61A4">
              <w:rPr>
                <w:rFonts w:ascii="Open Sans Light" w:hAnsi="Open Sans Light" w:cs="Open Sans Light"/>
                <w:sz w:val="20"/>
                <w:szCs w:val="20"/>
              </w:rPr>
              <w:t xml:space="preserve">To contribute to the </w:t>
            </w:r>
            <w:r w:rsidR="00522973" w:rsidRPr="006B61A4">
              <w:rPr>
                <w:rFonts w:ascii="Open Sans Light" w:hAnsi="Open Sans Light" w:cs="Open Sans Light"/>
                <w:sz w:val="20"/>
                <w:szCs w:val="20"/>
              </w:rPr>
              <w:t xml:space="preserve">Inclusive Learning and development </w:t>
            </w:r>
            <w:r w:rsidR="00CA5AFB" w:rsidRPr="006B61A4">
              <w:rPr>
                <w:rFonts w:ascii="Open Sans Light" w:hAnsi="Open Sans Light" w:cs="Open Sans Light"/>
                <w:sz w:val="20"/>
                <w:szCs w:val="20"/>
              </w:rPr>
              <w:t>self</w:t>
            </w:r>
            <w:r w:rsidRPr="006B61A4">
              <w:rPr>
                <w:rFonts w:ascii="Open Sans Light" w:hAnsi="Open Sans Light" w:cs="Open Sans Light"/>
                <w:sz w:val="20"/>
                <w:szCs w:val="20"/>
              </w:rPr>
              <w:t xml:space="preserve">-assessment process and provide written required evidence and administrative tasks to support the SAR. With the </w:t>
            </w:r>
            <w:r w:rsidR="00522973" w:rsidRPr="006B61A4">
              <w:rPr>
                <w:rFonts w:ascii="Open Sans Light" w:hAnsi="Open Sans Light" w:cs="Open Sans Light"/>
                <w:sz w:val="20"/>
                <w:szCs w:val="20"/>
              </w:rPr>
              <w:t>Head of Inclusive Learning and Development maintain</w:t>
            </w:r>
            <w:r w:rsidRPr="006B61A4">
              <w:rPr>
                <w:rFonts w:ascii="Open Sans Light" w:hAnsi="Open Sans Light" w:cs="Open Sans Light"/>
                <w:sz w:val="20"/>
                <w:szCs w:val="20"/>
              </w:rPr>
              <w:t>, an effective monitoring system to provide accurate data on students supported and the impact of support.</w:t>
            </w:r>
          </w:p>
        </w:tc>
      </w:tr>
      <w:tr w:rsidR="00C94A78" w:rsidRPr="006B61A4" w14:paraId="2C065779" w14:textId="77777777" w:rsidTr="00565779">
        <w:tc>
          <w:tcPr>
            <w:tcW w:w="9630" w:type="dxa"/>
          </w:tcPr>
          <w:p w14:paraId="53A5DA72" w14:textId="77777777" w:rsidR="00C94A78" w:rsidRPr="006B61A4" w:rsidRDefault="00C94A78" w:rsidP="00C94A78">
            <w:pPr>
              <w:numPr>
                <w:ilvl w:val="0"/>
                <w:numId w:val="22"/>
              </w:numPr>
              <w:rPr>
                <w:rFonts w:ascii="Open Sans Light" w:hAnsi="Open Sans Light" w:cs="Open Sans Light"/>
                <w:sz w:val="20"/>
                <w:szCs w:val="20"/>
              </w:rPr>
            </w:pPr>
            <w:r w:rsidRPr="006B61A4">
              <w:rPr>
                <w:rFonts w:ascii="Open Sans Light" w:hAnsi="Open Sans Light" w:cs="Open Sans Light"/>
                <w:sz w:val="20"/>
                <w:szCs w:val="20"/>
              </w:rPr>
              <w:t xml:space="preserve">To take part in continuous professional development </w:t>
            </w:r>
          </w:p>
          <w:p w14:paraId="1CBA2411" w14:textId="77777777" w:rsidR="00C94A78" w:rsidRPr="006B61A4" w:rsidRDefault="00C94A78" w:rsidP="00C94A78">
            <w:pPr>
              <w:ind w:left="360"/>
              <w:rPr>
                <w:rFonts w:ascii="Open Sans Light" w:hAnsi="Open Sans Light" w:cs="Open Sans Light"/>
                <w:sz w:val="20"/>
                <w:szCs w:val="20"/>
              </w:rPr>
            </w:pPr>
          </w:p>
        </w:tc>
      </w:tr>
      <w:tr w:rsidR="00C94A78" w:rsidRPr="006B61A4" w14:paraId="12805035" w14:textId="77777777" w:rsidTr="00565779">
        <w:tc>
          <w:tcPr>
            <w:tcW w:w="9630" w:type="dxa"/>
          </w:tcPr>
          <w:p w14:paraId="0A5698BF" w14:textId="77777777" w:rsidR="00C94A78" w:rsidRPr="006B61A4" w:rsidRDefault="00C94A78" w:rsidP="00C94A78">
            <w:pPr>
              <w:numPr>
                <w:ilvl w:val="0"/>
                <w:numId w:val="22"/>
              </w:numPr>
              <w:rPr>
                <w:rFonts w:ascii="Open Sans Light" w:hAnsi="Open Sans Light" w:cs="Open Sans Light"/>
                <w:sz w:val="20"/>
                <w:szCs w:val="20"/>
              </w:rPr>
            </w:pPr>
            <w:r w:rsidRPr="006B61A4">
              <w:rPr>
                <w:rFonts w:ascii="Open Sans Light" w:hAnsi="Open Sans Light" w:cs="Open Sans Light"/>
                <w:sz w:val="20"/>
                <w:szCs w:val="20"/>
              </w:rPr>
              <w:t>To undertake any tasks required that are commensurate to the role and grade.</w:t>
            </w:r>
          </w:p>
          <w:p w14:paraId="372E9E6B" w14:textId="77777777" w:rsidR="00C94A78" w:rsidRPr="006B61A4" w:rsidRDefault="00C94A78" w:rsidP="00C94A78">
            <w:pPr>
              <w:ind w:left="360"/>
              <w:rPr>
                <w:rFonts w:ascii="Open Sans Light" w:hAnsi="Open Sans Light" w:cs="Open Sans Light"/>
                <w:sz w:val="20"/>
                <w:szCs w:val="20"/>
              </w:rPr>
            </w:pPr>
          </w:p>
        </w:tc>
      </w:tr>
      <w:tr w:rsidR="00C94A78" w:rsidRPr="006B61A4" w14:paraId="2B4E2B6F" w14:textId="77777777" w:rsidTr="00565779">
        <w:tc>
          <w:tcPr>
            <w:tcW w:w="9630" w:type="dxa"/>
          </w:tcPr>
          <w:p w14:paraId="5F91B2DB" w14:textId="77777777" w:rsidR="00C94A78" w:rsidRPr="006B61A4" w:rsidRDefault="00C94A78" w:rsidP="00C94A78">
            <w:pPr>
              <w:numPr>
                <w:ilvl w:val="0"/>
                <w:numId w:val="22"/>
              </w:numPr>
              <w:rPr>
                <w:rFonts w:ascii="Open Sans Light" w:hAnsi="Open Sans Light" w:cs="Open Sans Light"/>
                <w:sz w:val="20"/>
                <w:szCs w:val="20"/>
              </w:rPr>
            </w:pPr>
            <w:r w:rsidRPr="006B61A4">
              <w:rPr>
                <w:rFonts w:ascii="Open Sans Light" w:hAnsi="Open Sans Light" w:cs="Open Sans Light"/>
                <w:sz w:val="20"/>
                <w:szCs w:val="20"/>
              </w:rPr>
              <w:t>To be aware of, comply with and promote Safeguarding policies and practices at all times.</w:t>
            </w:r>
          </w:p>
          <w:p w14:paraId="73875ED6" w14:textId="77777777" w:rsidR="00C94A78" w:rsidRPr="006B61A4" w:rsidRDefault="00C94A78" w:rsidP="00C94A78">
            <w:pPr>
              <w:ind w:left="360"/>
              <w:rPr>
                <w:rFonts w:ascii="Open Sans Light" w:hAnsi="Open Sans Light" w:cs="Open Sans Light"/>
                <w:sz w:val="20"/>
                <w:szCs w:val="20"/>
              </w:rPr>
            </w:pPr>
          </w:p>
        </w:tc>
      </w:tr>
      <w:tr w:rsidR="00C94A78" w:rsidRPr="006B61A4" w14:paraId="1817119E" w14:textId="77777777" w:rsidTr="00565779">
        <w:tc>
          <w:tcPr>
            <w:tcW w:w="9630" w:type="dxa"/>
          </w:tcPr>
          <w:p w14:paraId="70E5062E" w14:textId="77777777" w:rsidR="00C94A78" w:rsidRPr="006B61A4" w:rsidRDefault="00C94A78" w:rsidP="00C94A78">
            <w:pPr>
              <w:numPr>
                <w:ilvl w:val="0"/>
                <w:numId w:val="22"/>
              </w:numPr>
              <w:rPr>
                <w:rFonts w:ascii="Open Sans Light" w:hAnsi="Open Sans Light" w:cs="Open Sans Light"/>
                <w:sz w:val="20"/>
                <w:szCs w:val="20"/>
              </w:rPr>
            </w:pPr>
            <w:r w:rsidRPr="006B61A4">
              <w:rPr>
                <w:rFonts w:ascii="Open Sans Light" w:hAnsi="Open Sans Light" w:cs="Open Sans Light"/>
                <w:sz w:val="20"/>
                <w:szCs w:val="20"/>
              </w:rPr>
              <w:t>To be aware of, comply with and promote Equality &amp; Diversity policies and practices at all times. Analyse and selectively implement the calendar of key equality and diversity events across the programme/course</w:t>
            </w:r>
          </w:p>
          <w:p w14:paraId="1D2B1025" w14:textId="77777777" w:rsidR="00C94A78" w:rsidRPr="006B61A4" w:rsidRDefault="00C94A78" w:rsidP="00C94A78">
            <w:pPr>
              <w:ind w:left="360"/>
              <w:rPr>
                <w:rFonts w:ascii="Open Sans Light" w:hAnsi="Open Sans Light" w:cs="Open Sans Light"/>
                <w:sz w:val="20"/>
                <w:szCs w:val="20"/>
              </w:rPr>
            </w:pPr>
          </w:p>
        </w:tc>
      </w:tr>
      <w:tr w:rsidR="00C94A78" w:rsidRPr="006B61A4" w14:paraId="18B4657E" w14:textId="77777777" w:rsidTr="00565779">
        <w:tc>
          <w:tcPr>
            <w:tcW w:w="9630" w:type="dxa"/>
          </w:tcPr>
          <w:p w14:paraId="480B9A63" w14:textId="77777777" w:rsidR="00C94A78" w:rsidRPr="006B61A4" w:rsidRDefault="00C94A78" w:rsidP="00C94A78">
            <w:pPr>
              <w:numPr>
                <w:ilvl w:val="0"/>
                <w:numId w:val="22"/>
              </w:numPr>
              <w:rPr>
                <w:rFonts w:ascii="Open Sans Light" w:hAnsi="Open Sans Light" w:cs="Open Sans Light"/>
                <w:sz w:val="20"/>
                <w:szCs w:val="20"/>
              </w:rPr>
            </w:pPr>
            <w:r w:rsidRPr="006B61A4">
              <w:rPr>
                <w:rFonts w:ascii="Open Sans Light" w:hAnsi="Open Sans Light" w:cs="Open Sans Light"/>
                <w:sz w:val="20"/>
                <w:szCs w:val="20"/>
              </w:rPr>
              <w:t>To be aware of and comply with Health &amp; Safety policies and procedures at all times, in order to protect your own safety and the safety of others</w:t>
            </w:r>
          </w:p>
          <w:p w14:paraId="002EA674" w14:textId="77777777" w:rsidR="00C94A78" w:rsidRPr="006B61A4" w:rsidRDefault="00C94A78" w:rsidP="00C94A78">
            <w:pPr>
              <w:ind w:left="360"/>
              <w:rPr>
                <w:rFonts w:ascii="Open Sans Light" w:hAnsi="Open Sans Light" w:cs="Open Sans Light"/>
                <w:sz w:val="20"/>
                <w:szCs w:val="20"/>
              </w:rPr>
            </w:pPr>
          </w:p>
        </w:tc>
      </w:tr>
      <w:tr w:rsidR="00C94A78" w:rsidRPr="006B61A4" w14:paraId="175BA1FB" w14:textId="77777777" w:rsidTr="00565779">
        <w:tc>
          <w:tcPr>
            <w:tcW w:w="9630" w:type="dxa"/>
          </w:tcPr>
          <w:p w14:paraId="5BA652D6" w14:textId="77777777" w:rsidR="00C94A78" w:rsidRPr="006B61A4" w:rsidRDefault="00C94A78" w:rsidP="00C94A78">
            <w:pPr>
              <w:numPr>
                <w:ilvl w:val="0"/>
                <w:numId w:val="22"/>
              </w:numPr>
              <w:rPr>
                <w:rFonts w:ascii="Open Sans Light" w:hAnsi="Open Sans Light" w:cs="Open Sans Light"/>
                <w:sz w:val="20"/>
                <w:szCs w:val="20"/>
              </w:rPr>
            </w:pPr>
            <w:r w:rsidRPr="006B61A4">
              <w:rPr>
                <w:rFonts w:ascii="Open Sans Light" w:hAnsi="Open Sans Light" w:cs="Open Sans Light"/>
                <w:sz w:val="20"/>
                <w:szCs w:val="20"/>
              </w:rPr>
              <w:t>To participate in staff and student recruitment campaigns, interviews, open Days and promotional/information events.</w:t>
            </w:r>
          </w:p>
          <w:p w14:paraId="16C4CF91" w14:textId="77777777" w:rsidR="00C94A78" w:rsidRPr="006B61A4" w:rsidRDefault="00C94A78" w:rsidP="00C94A78">
            <w:pPr>
              <w:ind w:left="360"/>
              <w:rPr>
                <w:rFonts w:ascii="Open Sans Light" w:hAnsi="Open Sans Light" w:cs="Open Sans Light"/>
                <w:sz w:val="20"/>
                <w:szCs w:val="20"/>
              </w:rPr>
            </w:pPr>
          </w:p>
        </w:tc>
      </w:tr>
      <w:tr w:rsidR="00C94A78" w:rsidRPr="006B61A4" w14:paraId="2C4A4B98" w14:textId="77777777" w:rsidTr="00565779">
        <w:tc>
          <w:tcPr>
            <w:tcW w:w="9630" w:type="dxa"/>
          </w:tcPr>
          <w:p w14:paraId="3161C56B" w14:textId="77777777" w:rsidR="00C94A78" w:rsidRPr="006B61A4" w:rsidRDefault="00C94A78" w:rsidP="00C94A78">
            <w:pPr>
              <w:numPr>
                <w:ilvl w:val="0"/>
                <w:numId w:val="22"/>
              </w:numPr>
              <w:rPr>
                <w:rFonts w:ascii="Open Sans Light" w:hAnsi="Open Sans Light" w:cs="Open Sans Light"/>
                <w:sz w:val="20"/>
                <w:szCs w:val="20"/>
              </w:rPr>
            </w:pPr>
            <w:r w:rsidRPr="006B61A4">
              <w:rPr>
                <w:rFonts w:ascii="Open Sans Light" w:hAnsi="Open Sans Light" w:cs="Open Sans Light"/>
                <w:sz w:val="20"/>
                <w:szCs w:val="20"/>
              </w:rPr>
              <w:t>Work with employers and other stakeholders as required to develop and deliver high quality curriculum</w:t>
            </w:r>
          </w:p>
          <w:p w14:paraId="0EDF6C4C" w14:textId="77777777" w:rsidR="00C94A78" w:rsidRPr="006B61A4" w:rsidRDefault="00C94A78" w:rsidP="00C94A78">
            <w:pPr>
              <w:ind w:left="360"/>
              <w:rPr>
                <w:rFonts w:ascii="Open Sans Light" w:hAnsi="Open Sans Light" w:cs="Open Sans Light"/>
                <w:sz w:val="20"/>
                <w:szCs w:val="20"/>
              </w:rPr>
            </w:pPr>
          </w:p>
        </w:tc>
      </w:tr>
      <w:tr w:rsidR="00C94A78" w:rsidRPr="006B61A4" w14:paraId="7DDCB6C0" w14:textId="77777777" w:rsidTr="00565779">
        <w:tc>
          <w:tcPr>
            <w:tcW w:w="9630" w:type="dxa"/>
          </w:tcPr>
          <w:p w14:paraId="3942D199" w14:textId="77777777" w:rsidR="00C94A78" w:rsidRPr="006B61A4" w:rsidRDefault="00C94A78" w:rsidP="00C94A78">
            <w:pPr>
              <w:numPr>
                <w:ilvl w:val="0"/>
                <w:numId w:val="22"/>
              </w:numPr>
              <w:rPr>
                <w:rFonts w:ascii="Open Sans Light" w:hAnsi="Open Sans Light" w:cs="Open Sans Light"/>
                <w:sz w:val="20"/>
                <w:szCs w:val="20"/>
              </w:rPr>
            </w:pPr>
            <w:r w:rsidRPr="006B61A4">
              <w:rPr>
                <w:rFonts w:ascii="Open Sans Light" w:hAnsi="Open Sans Light" w:cs="Open Sans Light"/>
                <w:sz w:val="20"/>
                <w:szCs w:val="20"/>
              </w:rPr>
              <w:t>Comply with the departmental operating plan and contribute to action plans as needed.</w:t>
            </w:r>
          </w:p>
          <w:p w14:paraId="536FAA15" w14:textId="77777777" w:rsidR="00C94A78" w:rsidRPr="006B61A4" w:rsidRDefault="00C94A78" w:rsidP="00C94A78">
            <w:pPr>
              <w:ind w:left="360"/>
              <w:rPr>
                <w:rFonts w:ascii="Open Sans Light" w:hAnsi="Open Sans Light" w:cs="Open Sans Light"/>
                <w:sz w:val="20"/>
                <w:szCs w:val="20"/>
              </w:rPr>
            </w:pPr>
          </w:p>
        </w:tc>
      </w:tr>
    </w:tbl>
    <w:p w14:paraId="175BDCC3" w14:textId="77777777" w:rsidR="0055099F" w:rsidRPr="006B61A4" w:rsidRDefault="0055099F" w:rsidP="00A81AD2">
      <w:pPr>
        <w:spacing w:after="0" w:line="240" w:lineRule="auto"/>
        <w:contextualSpacing/>
        <w:jc w:val="both"/>
        <w:rPr>
          <w:rFonts w:ascii="Open Sans Light" w:eastAsia="Times New Roman" w:hAnsi="Open Sans Light" w:cs="Open Sans Light"/>
          <w:b/>
          <w:sz w:val="20"/>
          <w:szCs w:val="20"/>
        </w:rPr>
      </w:pPr>
    </w:p>
    <w:p w14:paraId="41C8CB37" w14:textId="77777777" w:rsidR="006B61A4" w:rsidRPr="006B61A4" w:rsidRDefault="006B61A4" w:rsidP="006B61A4">
      <w:pPr>
        <w:spacing w:after="0" w:line="240" w:lineRule="auto"/>
        <w:contextualSpacing/>
        <w:jc w:val="both"/>
        <w:rPr>
          <w:rFonts w:ascii="Open Sans Light" w:eastAsia="Times New Roman" w:hAnsi="Open Sans Light" w:cs="Open Sans Light"/>
          <w:b/>
          <w:sz w:val="20"/>
          <w:szCs w:val="20"/>
        </w:rPr>
      </w:pPr>
      <w:r w:rsidRPr="006B61A4">
        <w:rPr>
          <w:rFonts w:ascii="Open Sans Light" w:eastAsia="Times New Roman" w:hAnsi="Open Sans Light" w:cs="Open Sans Light"/>
          <w:b/>
          <w:sz w:val="20"/>
          <w:szCs w:val="20"/>
        </w:rPr>
        <w:t>Qualifications / Skills / Knowledge / Qualities</w:t>
      </w:r>
    </w:p>
    <w:p w14:paraId="4F28CC54" w14:textId="77777777" w:rsidR="006B61A4" w:rsidRPr="006B61A4" w:rsidRDefault="006B61A4" w:rsidP="006B61A4">
      <w:pPr>
        <w:spacing w:after="0" w:line="240" w:lineRule="auto"/>
        <w:contextualSpacing/>
        <w:jc w:val="both"/>
        <w:rPr>
          <w:rFonts w:ascii="Open Sans Light" w:eastAsia="Times New Roman" w:hAnsi="Open Sans Light" w:cs="Open Sans Light"/>
          <w:b/>
          <w:sz w:val="20"/>
          <w:szCs w:val="20"/>
          <w:u w:val="single"/>
        </w:rPr>
      </w:pPr>
    </w:p>
    <w:p w14:paraId="6B339A10" w14:textId="77777777" w:rsidR="006B61A4" w:rsidRPr="006B61A4" w:rsidRDefault="006B61A4" w:rsidP="006B61A4">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r w:rsidRPr="006B61A4">
        <w:rPr>
          <w:rFonts w:ascii="Open Sans Light" w:eastAsia="Times New Roman" w:hAnsi="Open Sans Light" w:cs="Open Sans Light"/>
          <w:sz w:val="20"/>
          <w:szCs w:val="20"/>
        </w:rPr>
        <w:t>At Plumpton College we are:</w:t>
      </w:r>
    </w:p>
    <w:p w14:paraId="35AA5911" w14:textId="77777777" w:rsidR="006B61A4" w:rsidRPr="006B61A4" w:rsidRDefault="006B61A4" w:rsidP="006B61A4">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p>
    <w:p w14:paraId="6327A163" w14:textId="77777777" w:rsidR="006B61A4" w:rsidRPr="006B61A4" w:rsidRDefault="006B61A4" w:rsidP="006B61A4">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6B61A4">
        <w:rPr>
          <w:rFonts w:ascii="Open Sans Light" w:eastAsia="Times New Roman" w:hAnsi="Open Sans Light" w:cs="Open Sans Light"/>
          <w:sz w:val="20"/>
          <w:szCs w:val="20"/>
        </w:rPr>
        <w:t>Ambitious and Progressive</w:t>
      </w:r>
    </w:p>
    <w:p w14:paraId="0267465C" w14:textId="77777777" w:rsidR="006B61A4" w:rsidRPr="006B61A4" w:rsidRDefault="006B61A4" w:rsidP="006B61A4">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6B61A4">
        <w:rPr>
          <w:rFonts w:ascii="Open Sans Light" w:eastAsia="Times New Roman" w:hAnsi="Open Sans Light" w:cs="Open Sans Light"/>
          <w:sz w:val="20"/>
          <w:szCs w:val="20"/>
        </w:rPr>
        <w:lastRenderedPageBreak/>
        <w:t>Enterprising</w:t>
      </w:r>
    </w:p>
    <w:p w14:paraId="4F02E068" w14:textId="77777777" w:rsidR="006B61A4" w:rsidRPr="006B61A4" w:rsidRDefault="006B61A4" w:rsidP="006B61A4">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6B61A4">
        <w:rPr>
          <w:rFonts w:ascii="Open Sans Light" w:eastAsia="Times New Roman" w:hAnsi="Open Sans Light" w:cs="Open Sans Light"/>
          <w:sz w:val="20"/>
          <w:szCs w:val="20"/>
        </w:rPr>
        <w:t>Professional</w:t>
      </w:r>
    </w:p>
    <w:p w14:paraId="3C67DD56" w14:textId="77777777" w:rsidR="006B61A4" w:rsidRPr="006B61A4" w:rsidRDefault="006B61A4" w:rsidP="006B61A4">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6B61A4">
        <w:rPr>
          <w:rFonts w:ascii="Open Sans Light" w:eastAsia="Times New Roman" w:hAnsi="Open Sans Light" w:cs="Open Sans Light"/>
          <w:sz w:val="20"/>
          <w:szCs w:val="20"/>
        </w:rPr>
        <w:t>Passionate about everything we do</w:t>
      </w:r>
    </w:p>
    <w:p w14:paraId="77A2F7C4" w14:textId="77777777" w:rsidR="006B61A4" w:rsidRPr="006B61A4" w:rsidRDefault="006B61A4" w:rsidP="006B61A4">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6B61A4">
        <w:rPr>
          <w:rFonts w:ascii="Open Sans Light" w:eastAsia="Times New Roman" w:hAnsi="Open Sans Light" w:cs="Open Sans Light"/>
          <w:sz w:val="20"/>
          <w:szCs w:val="20"/>
        </w:rPr>
        <w:t>Supportive</w:t>
      </w:r>
    </w:p>
    <w:p w14:paraId="0D8D9D2C" w14:textId="77777777" w:rsidR="00A81AD2" w:rsidRPr="006B61A4" w:rsidRDefault="00A81AD2" w:rsidP="00A81AD2">
      <w:pPr>
        <w:spacing w:after="0" w:line="240" w:lineRule="auto"/>
        <w:contextualSpacing/>
        <w:jc w:val="both"/>
        <w:rPr>
          <w:rFonts w:ascii="Open Sans Light" w:eastAsia="Calibri" w:hAnsi="Open Sans Light" w:cs="Open Sans Light"/>
          <w:sz w:val="20"/>
          <w:szCs w:val="20"/>
        </w:rPr>
      </w:pPr>
    </w:p>
    <w:p w14:paraId="0CD3542A" w14:textId="77777777" w:rsidR="006E1D31" w:rsidRPr="006B61A4" w:rsidRDefault="006E1D31" w:rsidP="00B26C4A">
      <w:pPr>
        <w:spacing w:after="0" w:line="240" w:lineRule="auto"/>
        <w:contextualSpacing/>
        <w:jc w:val="both"/>
        <w:rPr>
          <w:rFonts w:ascii="Open Sans Light" w:eastAsia="Calibri" w:hAnsi="Open Sans Light" w:cs="Open Sans Light"/>
          <w:b/>
          <w:sz w:val="20"/>
          <w:szCs w:val="20"/>
        </w:rPr>
      </w:pPr>
    </w:p>
    <w:tbl>
      <w:tblPr>
        <w:tblStyle w:val="TableGrid2"/>
        <w:tblW w:w="9606" w:type="dxa"/>
        <w:tblLook w:val="04A0" w:firstRow="1" w:lastRow="0" w:firstColumn="1" w:lastColumn="0" w:noHBand="0" w:noVBand="1"/>
      </w:tblPr>
      <w:tblGrid>
        <w:gridCol w:w="9606"/>
      </w:tblGrid>
      <w:tr w:rsidR="006B61A4" w:rsidRPr="006B61A4" w14:paraId="5A0675F5" w14:textId="77777777" w:rsidTr="00E0178C">
        <w:tc>
          <w:tcPr>
            <w:tcW w:w="9606" w:type="dxa"/>
            <w:tcBorders>
              <w:top w:val="single" w:sz="4" w:space="0" w:color="auto"/>
              <w:left w:val="single" w:sz="4" w:space="0" w:color="auto"/>
              <w:bottom w:val="single" w:sz="4" w:space="0" w:color="auto"/>
              <w:right w:val="single" w:sz="4" w:space="0" w:color="auto"/>
            </w:tcBorders>
            <w:vAlign w:val="center"/>
            <w:hideMark/>
          </w:tcPr>
          <w:p w14:paraId="06A0987C" w14:textId="77777777" w:rsidR="006B61A4" w:rsidRPr="006B61A4" w:rsidRDefault="006B61A4" w:rsidP="006B61A4">
            <w:pPr>
              <w:tabs>
                <w:tab w:val="center" w:pos="4513"/>
                <w:tab w:val="right" w:pos="9026"/>
              </w:tabs>
              <w:spacing w:after="120" w:line="276" w:lineRule="auto"/>
              <w:jc w:val="both"/>
              <w:rPr>
                <w:rFonts w:ascii="Open Sans Light" w:hAnsi="Open Sans Light" w:cs="Open Sans Light"/>
                <w:b/>
              </w:rPr>
            </w:pPr>
            <w:r w:rsidRPr="006B61A4">
              <w:rPr>
                <w:rFonts w:ascii="Open Sans Light" w:hAnsi="Open Sans Light" w:cs="Open Sans Light"/>
                <w:b/>
              </w:rPr>
              <w:t>Essential criteria for the post</w:t>
            </w:r>
          </w:p>
        </w:tc>
      </w:tr>
      <w:tr w:rsidR="006B61A4" w:rsidRPr="006B61A4" w14:paraId="7A828711" w14:textId="77777777" w:rsidTr="00E0178C">
        <w:tc>
          <w:tcPr>
            <w:tcW w:w="9606" w:type="dxa"/>
            <w:tcBorders>
              <w:top w:val="single" w:sz="4" w:space="0" w:color="auto"/>
              <w:left w:val="single" w:sz="4" w:space="0" w:color="auto"/>
              <w:bottom w:val="single" w:sz="4" w:space="0" w:color="auto"/>
              <w:right w:val="single" w:sz="4" w:space="0" w:color="auto"/>
            </w:tcBorders>
            <w:vAlign w:val="center"/>
            <w:hideMark/>
          </w:tcPr>
          <w:p w14:paraId="122041A1" w14:textId="3FE9F603" w:rsidR="006B61A4" w:rsidRPr="006B61A4" w:rsidRDefault="006B61A4" w:rsidP="006B61A4">
            <w:pPr>
              <w:tabs>
                <w:tab w:val="center" w:pos="4513"/>
                <w:tab w:val="right" w:pos="9026"/>
              </w:tabs>
              <w:spacing w:after="120" w:line="276" w:lineRule="auto"/>
              <w:rPr>
                <w:rFonts w:ascii="Open Sans Light" w:hAnsi="Open Sans Light" w:cs="Open Sans Light"/>
              </w:rPr>
            </w:pPr>
            <w:r w:rsidRPr="006B61A4">
              <w:rPr>
                <w:rFonts w:ascii="Open Sans Light" w:hAnsi="Open Sans Light" w:cs="Open Sans Light"/>
              </w:rPr>
              <w:t>Hold a relevant teaching qualification</w:t>
            </w:r>
            <w:r>
              <w:rPr>
                <w:rFonts w:ascii="Open Sans Light" w:hAnsi="Open Sans Light" w:cs="Open Sans Light"/>
              </w:rPr>
              <w:t xml:space="preserve"> (e.g. PGCE)</w:t>
            </w:r>
            <w:r w:rsidRPr="006B61A4">
              <w:rPr>
                <w:rFonts w:ascii="Open Sans Light" w:hAnsi="Open Sans Light" w:cs="Open Sans Light"/>
              </w:rPr>
              <w:t xml:space="preserve"> for level of programme/course or be willing to gain a relevant formal qualification.</w:t>
            </w:r>
          </w:p>
        </w:tc>
      </w:tr>
      <w:tr w:rsidR="006B61A4" w:rsidRPr="006B61A4" w14:paraId="7A06237B" w14:textId="77777777" w:rsidTr="00E0178C">
        <w:tc>
          <w:tcPr>
            <w:tcW w:w="9606" w:type="dxa"/>
            <w:tcBorders>
              <w:top w:val="single" w:sz="4" w:space="0" w:color="auto"/>
              <w:left w:val="single" w:sz="4" w:space="0" w:color="auto"/>
              <w:bottom w:val="single" w:sz="4" w:space="0" w:color="auto"/>
              <w:right w:val="single" w:sz="4" w:space="0" w:color="auto"/>
            </w:tcBorders>
            <w:vAlign w:val="center"/>
          </w:tcPr>
          <w:p w14:paraId="706596F6" w14:textId="77777777" w:rsidR="006B61A4" w:rsidRDefault="006B61A4" w:rsidP="006B61A4">
            <w:pPr>
              <w:rPr>
                <w:rFonts w:ascii="Open Sans Light" w:hAnsi="Open Sans Light" w:cs="Open Sans Light"/>
              </w:rPr>
            </w:pPr>
            <w:r w:rsidRPr="006B61A4">
              <w:rPr>
                <w:rFonts w:ascii="Open Sans Light" w:hAnsi="Open Sans Light" w:cs="Open Sans Light"/>
              </w:rPr>
              <w:t xml:space="preserve">Level 7 Qualification in </w:t>
            </w:r>
            <w:proofErr w:type="spellStart"/>
            <w:r w:rsidRPr="006B61A4">
              <w:rPr>
                <w:rFonts w:ascii="Open Sans Light" w:hAnsi="Open Sans Light" w:cs="Open Sans Light"/>
              </w:rPr>
              <w:t>SpLD</w:t>
            </w:r>
            <w:proofErr w:type="spellEnd"/>
            <w:r>
              <w:rPr>
                <w:rFonts w:ascii="Open Sans Light" w:hAnsi="Open Sans Light" w:cs="Open Sans Light"/>
              </w:rPr>
              <w:t xml:space="preserve"> or equivalent</w:t>
            </w:r>
          </w:p>
          <w:p w14:paraId="57C6A072" w14:textId="4EE2DDD8" w:rsidR="006B61A4" w:rsidRPr="006B61A4" w:rsidRDefault="006B61A4" w:rsidP="006B61A4">
            <w:pPr>
              <w:rPr>
                <w:rFonts w:ascii="Open Sans Light" w:hAnsi="Open Sans Light" w:cs="Open Sans Light"/>
              </w:rPr>
            </w:pPr>
          </w:p>
        </w:tc>
      </w:tr>
      <w:tr w:rsidR="006B61A4" w:rsidRPr="006B61A4" w14:paraId="02129FA2" w14:textId="77777777" w:rsidTr="00E0178C">
        <w:tc>
          <w:tcPr>
            <w:tcW w:w="9606" w:type="dxa"/>
            <w:tcBorders>
              <w:top w:val="single" w:sz="4" w:space="0" w:color="auto"/>
              <w:left w:val="single" w:sz="4" w:space="0" w:color="auto"/>
              <w:bottom w:val="single" w:sz="4" w:space="0" w:color="auto"/>
              <w:right w:val="single" w:sz="4" w:space="0" w:color="auto"/>
            </w:tcBorders>
            <w:vAlign w:val="center"/>
            <w:hideMark/>
          </w:tcPr>
          <w:p w14:paraId="7C847F3F" w14:textId="77777777" w:rsidR="006B61A4" w:rsidRPr="006B61A4" w:rsidRDefault="006B61A4" w:rsidP="006B61A4">
            <w:pPr>
              <w:tabs>
                <w:tab w:val="center" w:pos="4513"/>
                <w:tab w:val="right" w:pos="9026"/>
              </w:tabs>
              <w:spacing w:after="120" w:line="276" w:lineRule="auto"/>
              <w:rPr>
                <w:rFonts w:ascii="Open Sans Light" w:hAnsi="Open Sans Light" w:cs="Open Sans Light"/>
              </w:rPr>
            </w:pPr>
            <w:r w:rsidRPr="006B61A4">
              <w:rPr>
                <w:rFonts w:ascii="Open Sans Light" w:hAnsi="Open Sans Light" w:cs="Open Sans Light"/>
              </w:rPr>
              <w:t>Show evidence of or potential to teach to a consistently good or better standard.</w:t>
            </w:r>
          </w:p>
        </w:tc>
      </w:tr>
      <w:tr w:rsidR="006B61A4" w:rsidRPr="006B61A4" w14:paraId="744760F7" w14:textId="77777777" w:rsidTr="00E0178C">
        <w:tc>
          <w:tcPr>
            <w:tcW w:w="9606" w:type="dxa"/>
            <w:tcBorders>
              <w:top w:val="single" w:sz="4" w:space="0" w:color="auto"/>
              <w:left w:val="single" w:sz="4" w:space="0" w:color="auto"/>
              <w:bottom w:val="single" w:sz="4" w:space="0" w:color="auto"/>
              <w:right w:val="single" w:sz="4" w:space="0" w:color="auto"/>
            </w:tcBorders>
            <w:vAlign w:val="center"/>
            <w:hideMark/>
          </w:tcPr>
          <w:p w14:paraId="1F82B430" w14:textId="77777777" w:rsidR="006B61A4" w:rsidRPr="006B61A4" w:rsidRDefault="006B61A4" w:rsidP="006B61A4">
            <w:pPr>
              <w:tabs>
                <w:tab w:val="center" w:pos="4513"/>
                <w:tab w:val="right" w:pos="9026"/>
              </w:tabs>
              <w:spacing w:after="120" w:line="276" w:lineRule="auto"/>
              <w:rPr>
                <w:rFonts w:ascii="Open Sans Light" w:hAnsi="Open Sans Light" w:cs="Open Sans Light"/>
              </w:rPr>
            </w:pPr>
            <w:r w:rsidRPr="006B61A4">
              <w:rPr>
                <w:rFonts w:ascii="Open Sans Light" w:hAnsi="Open Sans Light" w:cs="Open Sans Light"/>
              </w:rPr>
              <w:t>Level 2 or higher qualifications in both English and maths.</w:t>
            </w:r>
          </w:p>
        </w:tc>
      </w:tr>
      <w:tr w:rsidR="006B61A4" w:rsidRPr="006B61A4" w14:paraId="5FDEEB16" w14:textId="77777777" w:rsidTr="00E0178C">
        <w:tc>
          <w:tcPr>
            <w:tcW w:w="9606" w:type="dxa"/>
            <w:tcBorders>
              <w:top w:val="single" w:sz="4" w:space="0" w:color="auto"/>
              <w:left w:val="single" w:sz="4" w:space="0" w:color="auto"/>
              <w:bottom w:val="single" w:sz="4" w:space="0" w:color="auto"/>
              <w:right w:val="single" w:sz="4" w:space="0" w:color="auto"/>
            </w:tcBorders>
            <w:vAlign w:val="center"/>
            <w:hideMark/>
          </w:tcPr>
          <w:p w14:paraId="3E8DC582" w14:textId="77777777" w:rsidR="006B61A4" w:rsidRPr="006B61A4" w:rsidRDefault="006B61A4" w:rsidP="006B61A4">
            <w:pPr>
              <w:tabs>
                <w:tab w:val="center" w:pos="4513"/>
                <w:tab w:val="right" w:pos="9026"/>
              </w:tabs>
              <w:spacing w:after="120" w:line="276" w:lineRule="auto"/>
              <w:rPr>
                <w:rFonts w:ascii="Open Sans Light" w:hAnsi="Open Sans Light" w:cs="Open Sans Light"/>
              </w:rPr>
            </w:pPr>
            <w:r w:rsidRPr="006B61A4">
              <w:rPr>
                <w:rFonts w:ascii="Open Sans Light" w:hAnsi="Open Sans Light" w:cs="Open Sans Light"/>
              </w:rPr>
              <w:t>Demonstrate a strong desire to work collaboratively as part of a high performing team.</w:t>
            </w:r>
          </w:p>
        </w:tc>
      </w:tr>
      <w:tr w:rsidR="006B61A4" w:rsidRPr="006B61A4" w14:paraId="03CE73E6" w14:textId="77777777" w:rsidTr="00E0178C">
        <w:tc>
          <w:tcPr>
            <w:tcW w:w="9606" w:type="dxa"/>
            <w:tcBorders>
              <w:top w:val="single" w:sz="4" w:space="0" w:color="auto"/>
              <w:left w:val="single" w:sz="4" w:space="0" w:color="auto"/>
              <w:bottom w:val="single" w:sz="4" w:space="0" w:color="auto"/>
              <w:right w:val="single" w:sz="4" w:space="0" w:color="auto"/>
            </w:tcBorders>
            <w:vAlign w:val="center"/>
            <w:hideMark/>
          </w:tcPr>
          <w:p w14:paraId="05ED8330" w14:textId="77777777" w:rsidR="006B61A4" w:rsidRPr="006B61A4" w:rsidRDefault="006B61A4" w:rsidP="006B61A4">
            <w:pPr>
              <w:tabs>
                <w:tab w:val="center" w:pos="4513"/>
                <w:tab w:val="right" w:pos="9026"/>
              </w:tabs>
              <w:spacing w:after="120" w:line="276" w:lineRule="auto"/>
              <w:rPr>
                <w:rFonts w:ascii="Open Sans Light" w:hAnsi="Open Sans Light" w:cs="Open Sans Light"/>
              </w:rPr>
            </w:pPr>
            <w:r w:rsidRPr="006B61A4">
              <w:rPr>
                <w:rFonts w:ascii="Open Sans Light" w:hAnsi="Open Sans Light" w:cs="Open Sans Light"/>
              </w:rPr>
              <w:t>Have a strong desire to see students succeed, evidenced by good or better key performance indicators for allocated programme(s).</w:t>
            </w:r>
          </w:p>
        </w:tc>
      </w:tr>
      <w:tr w:rsidR="006B61A4" w:rsidRPr="006B61A4" w14:paraId="3297574D" w14:textId="77777777" w:rsidTr="00E0178C">
        <w:tc>
          <w:tcPr>
            <w:tcW w:w="9606" w:type="dxa"/>
            <w:tcBorders>
              <w:top w:val="single" w:sz="4" w:space="0" w:color="auto"/>
              <w:left w:val="single" w:sz="4" w:space="0" w:color="auto"/>
              <w:bottom w:val="single" w:sz="4" w:space="0" w:color="auto"/>
              <w:right w:val="single" w:sz="4" w:space="0" w:color="auto"/>
            </w:tcBorders>
            <w:vAlign w:val="center"/>
            <w:hideMark/>
          </w:tcPr>
          <w:p w14:paraId="2240FF85" w14:textId="77777777" w:rsidR="006B61A4" w:rsidRPr="006B61A4" w:rsidRDefault="006B61A4" w:rsidP="006B61A4">
            <w:pPr>
              <w:tabs>
                <w:tab w:val="center" w:pos="4513"/>
                <w:tab w:val="right" w:pos="9026"/>
              </w:tabs>
              <w:spacing w:after="120" w:line="276" w:lineRule="auto"/>
              <w:rPr>
                <w:rFonts w:ascii="Open Sans Light" w:hAnsi="Open Sans Light" w:cs="Open Sans Light"/>
              </w:rPr>
            </w:pPr>
            <w:r w:rsidRPr="006B61A4">
              <w:rPr>
                <w:rFonts w:ascii="Open Sans Light" w:hAnsi="Open Sans Light" w:cs="Open Sans Light"/>
              </w:rPr>
              <w:t>Clear understanding of the needs of students and how these may be met.</w:t>
            </w:r>
          </w:p>
        </w:tc>
      </w:tr>
      <w:tr w:rsidR="006B61A4" w:rsidRPr="006B61A4" w14:paraId="6CC89A40" w14:textId="77777777" w:rsidTr="00E0178C">
        <w:tc>
          <w:tcPr>
            <w:tcW w:w="9606" w:type="dxa"/>
            <w:tcBorders>
              <w:top w:val="single" w:sz="4" w:space="0" w:color="auto"/>
              <w:left w:val="single" w:sz="4" w:space="0" w:color="auto"/>
              <w:bottom w:val="single" w:sz="4" w:space="0" w:color="auto"/>
              <w:right w:val="single" w:sz="4" w:space="0" w:color="auto"/>
            </w:tcBorders>
            <w:vAlign w:val="center"/>
            <w:hideMark/>
          </w:tcPr>
          <w:p w14:paraId="72FCF179" w14:textId="77777777" w:rsidR="006B61A4" w:rsidRPr="006B61A4" w:rsidRDefault="006B61A4" w:rsidP="006B61A4">
            <w:pPr>
              <w:tabs>
                <w:tab w:val="center" w:pos="4513"/>
                <w:tab w:val="right" w:pos="9026"/>
              </w:tabs>
              <w:spacing w:after="120" w:line="276" w:lineRule="auto"/>
              <w:rPr>
                <w:rFonts w:ascii="Open Sans Light" w:hAnsi="Open Sans Light" w:cs="Open Sans Light"/>
              </w:rPr>
            </w:pPr>
            <w:r w:rsidRPr="006B61A4">
              <w:rPr>
                <w:rFonts w:ascii="Open Sans Light" w:hAnsi="Open Sans Light" w:cs="Open Sans Light"/>
              </w:rPr>
              <w:t>Demonstrate a clear understanding of the factors affecting student welfare and best practice in maintaining and enhancing student behaviour and safeguarding.</w:t>
            </w:r>
          </w:p>
        </w:tc>
      </w:tr>
      <w:tr w:rsidR="006B61A4" w:rsidRPr="006B61A4" w14:paraId="3690F1A5" w14:textId="77777777" w:rsidTr="00E0178C">
        <w:tc>
          <w:tcPr>
            <w:tcW w:w="9606" w:type="dxa"/>
            <w:tcBorders>
              <w:top w:val="single" w:sz="4" w:space="0" w:color="auto"/>
              <w:left w:val="single" w:sz="4" w:space="0" w:color="auto"/>
              <w:bottom w:val="single" w:sz="4" w:space="0" w:color="auto"/>
              <w:right w:val="single" w:sz="4" w:space="0" w:color="auto"/>
            </w:tcBorders>
            <w:vAlign w:val="center"/>
            <w:hideMark/>
          </w:tcPr>
          <w:p w14:paraId="66D28DA5" w14:textId="77777777" w:rsidR="006B61A4" w:rsidRPr="006B61A4" w:rsidRDefault="006B61A4" w:rsidP="006B61A4">
            <w:pPr>
              <w:tabs>
                <w:tab w:val="center" w:pos="4513"/>
                <w:tab w:val="right" w:pos="9026"/>
              </w:tabs>
              <w:spacing w:after="120" w:line="276" w:lineRule="auto"/>
              <w:rPr>
                <w:rFonts w:ascii="Open Sans Light" w:hAnsi="Open Sans Light" w:cs="Open Sans Light"/>
              </w:rPr>
            </w:pPr>
            <w:r w:rsidRPr="006B61A4">
              <w:rPr>
                <w:rFonts w:ascii="Open Sans Light" w:hAnsi="Open Sans Light" w:cs="Open Sans Light"/>
              </w:rPr>
              <w:t>Excellent communicator with highly developed interpersonal skills.</w:t>
            </w:r>
          </w:p>
        </w:tc>
      </w:tr>
      <w:tr w:rsidR="006B61A4" w:rsidRPr="006B61A4" w14:paraId="3540801D" w14:textId="77777777" w:rsidTr="00E0178C">
        <w:tc>
          <w:tcPr>
            <w:tcW w:w="9606" w:type="dxa"/>
            <w:tcBorders>
              <w:top w:val="single" w:sz="4" w:space="0" w:color="auto"/>
              <w:left w:val="single" w:sz="4" w:space="0" w:color="auto"/>
              <w:bottom w:val="single" w:sz="4" w:space="0" w:color="auto"/>
              <w:right w:val="single" w:sz="4" w:space="0" w:color="auto"/>
            </w:tcBorders>
            <w:vAlign w:val="center"/>
            <w:hideMark/>
          </w:tcPr>
          <w:p w14:paraId="719326B2" w14:textId="77777777" w:rsidR="006B61A4" w:rsidRPr="006B61A4" w:rsidRDefault="006B61A4" w:rsidP="006B61A4">
            <w:pPr>
              <w:tabs>
                <w:tab w:val="center" w:pos="4513"/>
                <w:tab w:val="right" w:pos="9026"/>
              </w:tabs>
              <w:spacing w:after="120" w:line="276" w:lineRule="auto"/>
              <w:rPr>
                <w:rFonts w:ascii="Open Sans Light" w:hAnsi="Open Sans Light" w:cs="Open Sans Light"/>
              </w:rPr>
            </w:pPr>
            <w:r w:rsidRPr="006B61A4">
              <w:rPr>
                <w:rFonts w:ascii="Open Sans Light" w:hAnsi="Open Sans Light" w:cs="Open Sans Light"/>
              </w:rPr>
              <w:t>Willing and able to develop curriculum, teaching and learning materials in subject specialisms as part of continuous development.</w:t>
            </w:r>
          </w:p>
        </w:tc>
      </w:tr>
      <w:tr w:rsidR="006B61A4" w:rsidRPr="006B61A4" w14:paraId="6910BF65" w14:textId="77777777" w:rsidTr="00E0178C">
        <w:tc>
          <w:tcPr>
            <w:tcW w:w="9606" w:type="dxa"/>
            <w:tcBorders>
              <w:top w:val="single" w:sz="4" w:space="0" w:color="auto"/>
              <w:left w:val="single" w:sz="4" w:space="0" w:color="auto"/>
              <w:bottom w:val="single" w:sz="4" w:space="0" w:color="auto"/>
              <w:right w:val="single" w:sz="4" w:space="0" w:color="auto"/>
            </w:tcBorders>
            <w:vAlign w:val="center"/>
            <w:hideMark/>
          </w:tcPr>
          <w:p w14:paraId="067F9F59" w14:textId="1D087E35" w:rsidR="006B61A4" w:rsidRPr="006B61A4" w:rsidRDefault="006B61A4" w:rsidP="006B61A4">
            <w:pPr>
              <w:tabs>
                <w:tab w:val="center" w:pos="4513"/>
                <w:tab w:val="right" w:pos="9026"/>
              </w:tabs>
              <w:spacing w:after="120" w:line="276" w:lineRule="auto"/>
              <w:rPr>
                <w:rFonts w:ascii="Open Sans Light" w:hAnsi="Open Sans Light" w:cs="Open Sans Light"/>
              </w:rPr>
            </w:pPr>
            <w:r w:rsidRPr="006B61A4">
              <w:rPr>
                <w:rFonts w:ascii="Open Sans Light" w:hAnsi="Open Sans Light" w:cs="Open Sans Light"/>
              </w:rPr>
              <w:t>Comprehensive and well</w:t>
            </w:r>
            <w:r w:rsidR="00D6005B">
              <w:rPr>
                <w:rFonts w:ascii="Open Sans Light" w:hAnsi="Open Sans Light" w:cs="Open Sans Light"/>
              </w:rPr>
              <w:t>-</w:t>
            </w:r>
            <w:r w:rsidRPr="006B61A4">
              <w:rPr>
                <w:rFonts w:ascii="Open Sans Light" w:hAnsi="Open Sans Light" w:cs="Open Sans Light"/>
              </w:rPr>
              <w:t>developed IT skills.</w:t>
            </w:r>
          </w:p>
        </w:tc>
      </w:tr>
      <w:tr w:rsidR="006B61A4" w:rsidRPr="006B61A4" w14:paraId="796F23F8" w14:textId="77777777" w:rsidTr="00E0178C">
        <w:tc>
          <w:tcPr>
            <w:tcW w:w="9606" w:type="dxa"/>
            <w:tcBorders>
              <w:top w:val="single" w:sz="4" w:space="0" w:color="auto"/>
              <w:left w:val="single" w:sz="4" w:space="0" w:color="auto"/>
              <w:bottom w:val="single" w:sz="4" w:space="0" w:color="auto"/>
              <w:right w:val="single" w:sz="4" w:space="0" w:color="auto"/>
            </w:tcBorders>
            <w:vAlign w:val="center"/>
            <w:hideMark/>
          </w:tcPr>
          <w:p w14:paraId="428B6A05" w14:textId="77777777" w:rsidR="006B61A4" w:rsidRPr="006B61A4" w:rsidRDefault="006B61A4" w:rsidP="006B61A4">
            <w:pPr>
              <w:tabs>
                <w:tab w:val="center" w:pos="4513"/>
                <w:tab w:val="right" w:pos="9026"/>
              </w:tabs>
              <w:spacing w:after="120" w:line="276" w:lineRule="auto"/>
              <w:rPr>
                <w:rFonts w:ascii="Open Sans Light" w:hAnsi="Open Sans Light" w:cs="Open Sans Light"/>
              </w:rPr>
            </w:pPr>
            <w:r w:rsidRPr="006B61A4">
              <w:rPr>
                <w:rFonts w:ascii="Open Sans Light" w:hAnsi="Open Sans Light" w:cs="Open Sans Light"/>
              </w:rPr>
              <w:t>Skills and experience in problem solving and a flexible and adaptable approach.</w:t>
            </w:r>
          </w:p>
        </w:tc>
      </w:tr>
      <w:tr w:rsidR="006B61A4" w:rsidRPr="006B61A4" w14:paraId="705C35B7" w14:textId="77777777" w:rsidTr="00E0178C">
        <w:tc>
          <w:tcPr>
            <w:tcW w:w="9606" w:type="dxa"/>
            <w:tcBorders>
              <w:top w:val="single" w:sz="4" w:space="0" w:color="auto"/>
              <w:left w:val="single" w:sz="4" w:space="0" w:color="auto"/>
              <w:bottom w:val="single" w:sz="4" w:space="0" w:color="auto"/>
              <w:right w:val="single" w:sz="4" w:space="0" w:color="auto"/>
            </w:tcBorders>
            <w:vAlign w:val="center"/>
            <w:hideMark/>
          </w:tcPr>
          <w:p w14:paraId="37C3DF59" w14:textId="77777777" w:rsidR="006B61A4" w:rsidRPr="006B61A4" w:rsidRDefault="006B61A4" w:rsidP="006B61A4">
            <w:pPr>
              <w:tabs>
                <w:tab w:val="center" w:pos="4513"/>
                <w:tab w:val="right" w:pos="9026"/>
              </w:tabs>
              <w:spacing w:after="120" w:line="276" w:lineRule="auto"/>
              <w:rPr>
                <w:rFonts w:ascii="Open Sans Light" w:hAnsi="Open Sans Light" w:cs="Open Sans Light"/>
              </w:rPr>
            </w:pPr>
            <w:r w:rsidRPr="006B61A4">
              <w:rPr>
                <w:rFonts w:ascii="Open Sans Light" w:hAnsi="Open Sans Light" w:cs="Open Sans Light"/>
              </w:rPr>
              <w:t xml:space="preserve">Adaptable and flexible approach to change. </w:t>
            </w:r>
          </w:p>
        </w:tc>
      </w:tr>
      <w:tr w:rsidR="006B61A4" w:rsidRPr="006B61A4" w14:paraId="4F2E46B4" w14:textId="77777777" w:rsidTr="00E0178C">
        <w:tc>
          <w:tcPr>
            <w:tcW w:w="9606" w:type="dxa"/>
            <w:tcBorders>
              <w:top w:val="single" w:sz="4" w:space="0" w:color="auto"/>
              <w:left w:val="single" w:sz="4" w:space="0" w:color="auto"/>
              <w:bottom w:val="single" w:sz="4" w:space="0" w:color="auto"/>
              <w:right w:val="single" w:sz="4" w:space="0" w:color="auto"/>
            </w:tcBorders>
            <w:vAlign w:val="center"/>
            <w:hideMark/>
          </w:tcPr>
          <w:p w14:paraId="1C85AC43" w14:textId="77777777" w:rsidR="006B61A4" w:rsidRPr="006B61A4" w:rsidRDefault="006B61A4" w:rsidP="006B61A4">
            <w:pPr>
              <w:tabs>
                <w:tab w:val="center" w:pos="4513"/>
                <w:tab w:val="right" w:pos="9026"/>
              </w:tabs>
              <w:spacing w:after="120" w:line="276" w:lineRule="auto"/>
              <w:jc w:val="both"/>
              <w:rPr>
                <w:rFonts w:ascii="Open Sans Light" w:hAnsi="Open Sans Light" w:cs="Open Sans Light"/>
                <w:b/>
              </w:rPr>
            </w:pPr>
            <w:r w:rsidRPr="006B61A4">
              <w:rPr>
                <w:rFonts w:ascii="Open Sans Light" w:hAnsi="Open Sans Light" w:cs="Open Sans Light"/>
                <w:b/>
              </w:rPr>
              <w:t>Desirable criteria</w:t>
            </w:r>
          </w:p>
        </w:tc>
      </w:tr>
      <w:tr w:rsidR="006B61A4" w:rsidRPr="006B61A4" w14:paraId="710D642A" w14:textId="77777777" w:rsidTr="00E0178C">
        <w:tc>
          <w:tcPr>
            <w:tcW w:w="9606" w:type="dxa"/>
            <w:tcBorders>
              <w:top w:val="single" w:sz="4" w:space="0" w:color="auto"/>
              <w:left w:val="single" w:sz="4" w:space="0" w:color="auto"/>
              <w:bottom w:val="single" w:sz="4" w:space="0" w:color="auto"/>
              <w:right w:val="single" w:sz="4" w:space="0" w:color="auto"/>
            </w:tcBorders>
            <w:vAlign w:val="center"/>
            <w:hideMark/>
          </w:tcPr>
          <w:p w14:paraId="3D5B425B" w14:textId="77777777" w:rsidR="006B61A4" w:rsidRPr="006B61A4" w:rsidRDefault="006B61A4" w:rsidP="006B61A4">
            <w:pPr>
              <w:tabs>
                <w:tab w:val="center" w:pos="4513"/>
                <w:tab w:val="right" w:pos="9026"/>
              </w:tabs>
              <w:spacing w:after="120" w:line="276" w:lineRule="auto"/>
              <w:rPr>
                <w:rFonts w:ascii="Open Sans Light" w:hAnsi="Open Sans Light" w:cs="Open Sans Light"/>
              </w:rPr>
            </w:pPr>
            <w:r w:rsidRPr="006B61A4">
              <w:rPr>
                <w:rFonts w:ascii="Open Sans Light" w:hAnsi="Open Sans Light" w:cs="Open Sans Light"/>
              </w:rPr>
              <w:t>Experience of teaching and learning.</w:t>
            </w:r>
          </w:p>
        </w:tc>
      </w:tr>
    </w:tbl>
    <w:p w14:paraId="4FA4EA6A" w14:textId="361E4D0F" w:rsidR="00B26C4A" w:rsidRDefault="00B26C4A" w:rsidP="00244871">
      <w:pPr>
        <w:tabs>
          <w:tab w:val="left" w:pos="-720"/>
          <w:tab w:val="left" w:pos="0"/>
          <w:tab w:val="left" w:pos="720"/>
        </w:tabs>
        <w:spacing w:after="0" w:line="240" w:lineRule="auto"/>
        <w:rPr>
          <w:rFonts w:ascii="Open Sans Light" w:eastAsia="Calibri" w:hAnsi="Open Sans Light" w:cs="Open Sans Light"/>
          <w:b/>
          <w:sz w:val="20"/>
          <w:szCs w:val="20"/>
        </w:rPr>
      </w:pPr>
    </w:p>
    <w:p w14:paraId="47EEB04F" w14:textId="77777777" w:rsidR="00D6005B" w:rsidRPr="00D6005B" w:rsidRDefault="00D6005B" w:rsidP="00D6005B">
      <w:pPr>
        <w:tabs>
          <w:tab w:val="left" w:pos="-720"/>
          <w:tab w:val="left" w:pos="0"/>
        </w:tabs>
        <w:spacing w:after="0" w:line="240" w:lineRule="auto"/>
        <w:jc w:val="both"/>
        <w:rPr>
          <w:rFonts w:ascii="Open Sans Light" w:eastAsia="Calibri" w:hAnsi="Open Sans Light" w:cs="Open Sans Light"/>
          <w:sz w:val="20"/>
          <w:szCs w:val="20"/>
        </w:rPr>
      </w:pPr>
      <w:r w:rsidRPr="00D6005B">
        <w:rPr>
          <w:rFonts w:ascii="Open Sans Light" w:eastAsia="Calibri" w:hAnsi="Open Sans Light" w:cs="Open Sans Light"/>
          <w:b/>
          <w:sz w:val="20"/>
          <w:szCs w:val="20"/>
        </w:rPr>
        <w:t>CONDITIONS OF EMPLOYMENT</w:t>
      </w:r>
    </w:p>
    <w:p w14:paraId="2AEE924E" w14:textId="77777777" w:rsidR="00D6005B" w:rsidRPr="00D6005B" w:rsidRDefault="00D6005B" w:rsidP="00D6005B">
      <w:pPr>
        <w:spacing w:after="0" w:line="240" w:lineRule="auto"/>
        <w:contextualSpacing/>
        <w:jc w:val="both"/>
        <w:rPr>
          <w:rFonts w:ascii="Open Sans Light" w:eastAsia="Times New Roman" w:hAnsi="Open Sans Light" w:cs="Open Sans Light"/>
          <w:sz w:val="20"/>
          <w:szCs w:val="20"/>
          <w:u w:val="single"/>
        </w:rPr>
      </w:pPr>
    </w:p>
    <w:p w14:paraId="1D6F7861" w14:textId="77777777" w:rsidR="00D6005B" w:rsidRPr="00D6005B" w:rsidRDefault="00D6005B" w:rsidP="00D6005B">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D6005B">
        <w:rPr>
          <w:rFonts w:ascii="Open Sans Light" w:eastAsia="Calibri" w:hAnsi="Open Sans Light" w:cs="Open Sans Light"/>
          <w:b/>
          <w:bCs/>
          <w:sz w:val="20"/>
          <w:szCs w:val="20"/>
        </w:rPr>
        <w:t xml:space="preserve">Teaching </w:t>
      </w:r>
    </w:p>
    <w:p w14:paraId="5869E400" w14:textId="77777777" w:rsidR="00D6005B" w:rsidRPr="00D6005B" w:rsidRDefault="00D6005B" w:rsidP="00D6005B">
      <w:pPr>
        <w:spacing w:after="0" w:line="240" w:lineRule="auto"/>
        <w:contextualSpacing/>
        <w:rPr>
          <w:rFonts w:ascii="Open Sans Light" w:eastAsia="Times New Roman" w:hAnsi="Open Sans Light" w:cs="Open Sans Light"/>
          <w:sz w:val="20"/>
          <w:szCs w:val="20"/>
          <w:u w:val="single"/>
        </w:rPr>
      </w:pPr>
      <w:r w:rsidRPr="00D6005B">
        <w:rPr>
          <w:rFonts w:ascii="Open Sans Light" w:eastAsia="Times New Roman" w:hAnsi="Open Sans Light" w:cs="Open Sans Light"/>
          <w:sz w:val="20"/>
          <w:szCs w:val="20"/>
        </w:rPr>
        <w:t xml:space="preserve">This is a teaching post, and the total teaching hours will be in the range of 850 to 950 hours per year.  The number of teaching hours undertaken will depend on the nature of the teaching and the size of classes and any other allocated responsibilities. </w:t>
      </w:r>
    </w:p>
    <w:p w14:paraId="715CA7C4" w14:textId="77777777" w:rsidR="00D6005B" w:rsidRPr="00D6005B" w:rsidRDefault="00D6005B" w:rsidP="00D6005B">
      <w:pPr>
        <w:spacing w:after="0" w:line="240" w:lineRule="auto"/>
        <w:contextualSpacing/>
        <w:jc w:val="both"/>
        <w:rPr>
          <w:rFonts w:ascii="Open Sans Light" w:eastAsia="Times New Roman" w:hAnsi="Open Sans Light" w:cs="Open Sans Light"/>
          <w:sz w:val="20"/>
          <w:szCs w:val="20"/>
          <w:u w:val="single"/>
        </w:rPr>
      </w:pPr>
    </w:p>
    <w:p w14:paraId="0A9D0D42" w14:textId="77777777" w:rsidR="00D6005B" w:rsidRPr="00D6005B" w:rsidRDefault="00D6005B" w:rsidP="00D6005B">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D6005B">
        <w:rPr>
          <w:rFonts w:ascii="Open Sans Light" w:eastAsia="Calibri" w:hAnsi="Open Sans Light" w:cs="Open Sans Light"/>
          <w:b/>
          <w:bCs/>
          <w:sz w:val="20"/>
          <w:szCs w:val="20"/>
        </w:rPr>
        <w:t>Working Hours</w:t>
      </w:r>
    </w:p>
    <w:p w14:paraId="4612449D" w14:textId="77777777" w:rsidR="00D6005B" w:rsidRPr="00D6005B" w:rsidRDefault="00D6005B" w:rsidP="00D6005B">
      <w:pPr>
        <w:spacing w:after="0" w:line="240" w:lineRule="auto"/>
        <w:contextualSpacing/>
        <w:rPr>
          <w:rFonts w:ascii="Open Sans Light" w:eastAsia="Times New Roman" w:hAnsi="Open Sans Light" w:cs="Open Sans Light"/>
          <w:sz w:val="20"/>
          <w:szCs w:val="20"/>
        </w:rPr>
      </w:pPr>
      <w:r w:rsidRPr="00D6005B">
        <w:rPr>
          <w:rFonts w:ascii="Open Sans Light" w:eastAsia="Times New Roman" w:hAnsi="Open Sans Light" w:cs="Open Sans Light"/>
          <w:sz w:val="20"/>
          <w:szCs w:val="20"/>
        </w:rPr>
        <w:t xml:space="preserve">Basic working hours are from 08.30 to 17.00 Monday to Friday but some flexibility will be required to meet the needs of the business. This is an all </w:t>
      </w:r>
      <w:proofErr w:type="gramStart"/>
      <w:r w:rsidRPr="00D6005B">
        <w:rPr>
          <w:rFonts w:ascii="Open Sans Light" w:eastAsia="Times New Roman" w:hAnsi="Open Sans Light" w:cs="Open Sans Light"/>
          <w:sz w:val="20"/>
          <w:szCs w:val="20"/>
        </w:rPr>
        <w:t>year round</w:t>
      </w:r>
      <w:proofErr w:type="gramEnd"/>
      <w:r w:rsidRPr="00D6005B">
        <w:rPr>
          <w:rFonts w:ascii="Open Sans Light" w:eastAsia="Times New Roman" w:hAnsi="Open Sans Light" w:cs="Open Sans Light"/>
          <w:sz w:val="20"/>
          <w:szCs w:val="20"/>
        </w:rPr>
        <w:t xml:space="preserve"> post. There will be some evening and weekend working required to support faculty activities, and whole college recruitment and promotional events.</w:t>
      </w:r>
    </w:p>
    <w:p w14:paraId="45DF183F" w14:textId="77777777" w:rsidR="00D6005B" w:rsidRPr="00D6005B" w:rsidRDefault="00D6005B" w:rsidP="00D6005B">
      <w:pPr>
        <w:tabs>
          <w:tab w:val="left" w:pos="-720"/>
          <w:tab w:val="left" w:pos="0"/>
          <w:tab w:val="left" w:pos="720"/>
        </w:tabs>
        <w:spacing w:after="0" w:line="240" w:lineRule="auto"/>
        <w:jc w:val="both"/>
        <w:rPr>
          <w:rFonts w:ascii="Open Sans Light" w:eastAsia="Calibri" w:hAnsi="Open Sans Light" w:cs="Open Sans Light"/>
          <w:color w:val="FF0000"/>
          <w:sz w:val="20"/>
          <w:szCs w:val="20"/>
        </w:rPr>
      </w:pPr>
    </w:p>
    <w:p w14:paraId="1AB2013B" w14:textId="77777777" w:rsidR="00D6005B" w:rsidRPr="00D6005B" w:rsidRDefault="00D6005B" w:rsidP="00D6005B">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D6005B">
        <w:rPr>
          <w:rFonts w:ascii="Open Sans Light" w:eastAsia="Calibri" w:hAnsi="Open Sans Light" w:cs="Open Sans Light"/>
          <w:b/>
          <w:bCs/>
          <w:sz w:val="20"/>
          <w:szCs w:val="20"/>
        </w:rPr>
        <w:t>Annual Leave</w:t>
      </w:r>
    </w:p>
    <w:p w14:paraId="39E5EDD4" w14:textId="77777777" w:rsidR="00D6005B" w:rsidRPr="00D6005B" w:rsidRDefault="00D6005B" w:rsidP="00D6005B">
      <w:pPr>
        <w:overflowPunct w:val="0"/>
        <w:autoSpaceDE w:val="0"/>
        <w:autoSpaceDN w:val="0"/>
        <w:adjustRightInd w:val="0"/>
        <w:spacing w:after="0" w:line="240" w:lineRule="auto"/>
        <w:textAlignment w:val="baseline"/>
        <w:rPr>
          <w:rFonts w:ascii="Open Sans Light" w:eastAsia="Times New Roman" w:hAnsi="Open Sans Light" w:cs="Open Sans Light"/>
          <w:sz w:val="20"/>
          <w:szCs w:val="20"/>
        </w:rPr>
      </w:pPr>
      <w:r w:rsidRPr="00D6005B">
        <w:rPr>
          <w:rFonts w:ascii="Open Sans Light" w:eastAsia="Times New Roman" w:hAnsi="Open Sans Light" w:cs="Open Sans Light"/>
          <w:sz w:val="20"/>
          <w:szCs w:val="20"/>
        </w:rPr>
        <w:lastRenderedPageBreak/>
        <w:t>The holiday year is from 1 September - 31 August each year.  The annual leave entitlement for this role is 37 working days, 8 bank holidays and efficiency days as stipulated by the Senior Management Team. Annual leave is bookable subject to business needs and should be planned and agreed with your Manager. Annual leave sheets will be available from the start of the new holiday year (1 September).</w:t>
      </w:r>
    </w:p>
    <w:p w14:paraId="2320552E" w14:textId="77777777" w:rsidR="00D6005B" w:rsidRPr="00D6005B" w:rsidRDefault="00D6005B" w:rsidP="00D6005B">
      <w:pPr>
        <w:overflowPunct w:val="0"/>
        <w:autoSpaceDE w:val="0"/>
        <w:autoSpaceDN w:val="0"/>
        <w:adjustRightInd w:val="0"/>
        <w:spacing w:after="0" w:line="240" w:lineRule="auto"/>
        <w:textAlignment w:val="baseline"/>
        <w:rPr>
          <w:rFonts w:ascii="Open Sans Light" w:eastAsia="Times New Roman" w:hAnsi="Open Sans Light" w:cs="Open Sans Light"/>
          <w:sz w:val="20"/>
          <w:szCs w:val="20"/>
        </w:rPr>
      </w:pPr>
    </w:p>
    <w:p w14:paraId="2A708B2C" w14:textId="77777777" w:rsidR="00D6005B" w:rsidRPr="00D6005B" w:rsidRDefault="00D6005B" w:rsidP="00D6005B">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D6005B">
        <w:rPr>
          <w:rFonts w:ascii="Open Sans Light" w:eastAsia="Calibri" w:hAnsi="Open Sans Light" w:cs="Open Sans Light"/>
          <w:b/>
          <w:bCs/>
          <w:sz w:val="20"/>
          <w:szCs w:val="20"/>
        </w:rPr>
        <w:t>Continuous Professional Development (CPD)</w:t>
      </w:r>
    </w:p>
    <w:p w14:paraId="3A97D912" w14:textId="77777777" w:rsidR="00D6005B" w:rsidRPr="00D6005B" w:rsidRDefault="00D6005B" w:rsidP="00D6005B">
      <w:pPr>
        <w:spacing w:after="0" w:line="240" w:lineRule="auto"/>
        <w:rPr>
          <w:rFonts w:ascii="Open Sans Light" w:eastAsia="Times New Roman" w:hAnsi="Open Sans Light" w:cs="Open Sans Light"/>
          <w:sz w:val="20"/>
          <w:szCs w:val="20"/>
        </w:rPr>
      </w:pPr>
      <w:r w:rsidRPr="00D6005B">
        <w:rPr>
          <w:rFonts w:ascii="Open Sans Light" w:eastAsia="Times New Roman" w:hAnsi="Open Sans Light" w:cs="Open Sans Light"/>
          <w:sz w:val="20"/>
          <w:szCs w:val="20"/>
        </w:rPr>
        <w:t xml:space="preserve">This post will be entitled to CPD for industrial updating, personal and professional development.  All CPD must be planned, agreed and booked with your Line Manager.  </w:t>
      </w:r>
    </w:p>
    <w:p w14:paraId="6E6F6951" w14:textId="77777777" w:rsidR="00D6005B" w:rsidRPr="00D6005B" w:rsidRDefault="00D6005B" w:rsidP="00D6005B">
      <w:pPr>
        <w:spacing w:after="0" w:line="240" w:lineRule="auto"/>
        <w:jc w:val="both"/>
        <w:rPr>
          <w:rFonts w:ascii="Open Sans Light" w:eastAsia="Times New Roman" w:hAnsi="Open Sans Light" w:cs="Open Sans Light"/>
          <w:color w:val="FF0000"/>
          <w:sz w:val="20"/>
          <w:szCs w:val="20"/>
        </w:rPr>
      </w:pPr>
    </w:p>
    <w:p w14:paraId="43284A34" w14:textId="77777777" w:rsidR="00D6005B" w:rsidRPr="00D6005B" w:rsidRDefault="00D6005B" w:rsidP="00D6005B">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D6005B">
        <w:rPr>
          <w:rFonts w:ascii="Open Sans Light" w:eastAsia="Calibri" w:hAnsi="Open Sans Light" w:cs="Open Sans Light"/>
          <w:b/>
          <w:bCs/>
          <w:sz w:val="20"/>
          <w:szCs w:val="20"/>
        </w:rPr>
        <w:t>Benefits</w:t>
      </w:r>
    </w:p>
    <w:p w14:paraId="7BB37771" w14:textId="77777777" w:rsidR="00D6005B" w:rsidRPr="00D6005B" w:rsidRDefault="00D6005B" w:rsidP="00D6005B">
      <w:pPr>
        <w:spacing w:after="0" w:line="240" w:lineRule="auto"/>
        <w:rPr>
          <w:rFonts w:ascii="Open Sans Light" w:eastAsia="Times New Roman" w:hAnsi="Open Sans Light" w:cs="Open Sans Light"/>
          <w:sz w:val="20"/>
          <w:szCs w:val="20"/>
        </w:rPr>
      </w:pPr>
      <w:r w:rsidRPr="00D6005B">
        <w:rPr>
          <w:rFonts w:ascii="Open Sans Light" w:eastAsia="Times New Roman" w:hAnsi="Open Sans Light" w:cs="Open Sans Light"/>
          <w:sz w:val="20"/>
          <w:szCs w:val="20"/>
        </w:rPr>
        <w:t>The candidate appointed to the post will automatically become a member of the Teachers’ Pension Scheme and pay contributions as determined by annual salary levels. The pension scheme includes life assurance cover, and the College will also pay a contribution towards your pension. There is also free car parking and a competitively priced dining room service.</w:t>
      </w:r>
    </w:p>
    <w:p w14:paraId="2EFA1FFD" w14:textId="77777777" w:rsidR="00D6005B" w:rsidRPr="00D6005B" w:rsidRDefault="00D6005B" w:rsidP="00D6005B">
      <w:pPr>
        <w:spacing w:after="0" w:line="240" w:lineRule="auto"/>
        <w:contextualSpacing/>
        <w:jc w:val="both"/>
        <w:rPr>
          <w:rFonts w:ascii="Open Sans Light" w:eastAsia="Times New Roman" w:hAnsi="Open Sans Light" w:cs="Open Sans Light"/>
          <w:color w:val="FF0000"/>
          <w:sz w:val="20"/>
          <w:szCs w:val="20"/>
          <w:u w:val="single"/>
        </w:rPr>
      </w:pPr>
    </w:p>
    <w:p w14:paraId="4CAA0327" w14:textId="77777777" w:rsidR="00D6005B" w:rsidRPr="00D6005B" w:rsidRDefault="00D6005B" w:rsidP="00D6005B">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D6005B">
        <w:rPr>
          <w:rFonts w:ascii="Open Sans Light" w:eastAsia="Calibri" w:hAnsi="Open Sans Light" w:cs="Open Sans Light"/>
          <w:b/>
          <w:bCs/>
          <w:sz w:val="20"/>
          <w:szCs w:val="20"/>
        </w:rPr>
        <w:t>Equality and Diversity</w:t>
      </w:r>
    </w:p>
    <w:p w14:paraId="3147CBA1" w14:textId="77777777" w:rsidR="00D6005B" w:rsidRPr="00D6005B" w:rsidRDefault="00D6005B" w:rsidP="00D6005B">
      <w:pPr>
        <w:tabs>
          <w:tab w:val="left" w:pos="-720"/>
          <w:tab w:val="left" w:pos="0"/>
          <w:tab w:val="left" w:pos="720"/>
        </w:tabs>
        <w:spacing w:after="0" w:line="240" w:lineRule="auto"/>
        <w:rPr>
          <w:rFonts w:ascii="Open Sans Light" w:eastAsia="Times New Roman" w:hAnsi="Open Sans Light" w:cs="Open Sans Light"/>
          <w:sz w:val="20"/>
          <w:szCs w:val="20"/>
        </w:rPr>
      </w:pPr>
      <w:r w:rsidRPr="00D6005B">
        <w:rPr>
          <w:rFonts w:ascii="Open Sans Light" w:eastAsia="Times New Roman" w:hAnsi="Open Sans Light" w:cs="Open Sans Light"/>
          <w:sz w:val="20"/>
          <w:szCs w:val="20"/>
        </w:rPr>
        <w:t xml:space="preserve">Plumpton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14:paraId="2A5BBEE0" w14:textId="77777777" w:rsidR="00D6005B" w:rsidRPr="00D6005B" w:rsidRDefault="00D6005B" w:rsidP="00D6005B">
      <w:pPr>
        <w:tabs>
          <w:tab w:val="left" w:pos="-720"/>
          <w:tab w:val="left" w:pos="0"/>
          <w:tab w:val="left" w:pos="720"/>
        </w:tabs>
        <w:spacing w:after="0" w:line="240" w:lineRule="auto"/>
        <w:rPr>
          <w:rFonts w:ascii="Open Sans Light" w:eastAsia="Calibri" w:hAnsi="Open Sans Light" w:cs="Open Sans Light"/>
          <w:b/>
          <w:bCs/>
          <w:color w:val="FF0000"/>
          <w:sz w:val="20"/>
          <w:szCs w:val="20"/>
        </w:rPr>
      </w:pPr>
    </w:p>
    <w:p w14:paraId="1CB6539F" w14:textId="77777777" w:rsidR="00D6005B" w:rsidRPr="00D6005B" w:rsidRDefault="00D6005B" w:rsidP="00D6005B">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D6005B">
        <w:rPr>
          <w:rFonts w:ascii="Open Sans Light" w:eastAsia="Calibri" w:hAnsi="Open Sans Light" w:cs="Open Sans Light"/>
          <w:b/>
          <w:bCs/>
          <w:sz w:val="20"/>
          <w:szCs w:val="20"/>
        </w:rPr>
        <w:t>Criminal Record Check via the Disclosure Procedure</w:t>
      </w:r>
    </w:p>
    <w:p w14:paraId="19B2AFBD" w14:textId="77777777" w:rsidR="00D6005B" w:rsidRPr="00D6005B" w:rsidRDefault="00D6005B" w:rsidP="00D6005B">
      <w:pPr>
        <w:tabs>
          <w:tab w:val="left" w:pos="-720"/>
          <w:tab w:val="left" w:pos="0"/>
          <w:tab w:val="left" w:pos="720"/>
        </w:tabs>
        <w:spacing w:after="0" w:line="240" w:lineRule="auto"/>
        <w:rPr>
          <w:rFonts w:ascii="Open Sans Light" w:eastAsia="Times New Roman" w:hAnsi="Open Sans Light" w:cs="Open Sans Light"/>
          <w:sz w:val="20"/>
          <w:szCs w:val="20"/>
        </w:rPr>
      </w:pPr>
      <w:r w:rsidRPr="00D6005B">
        <w:rPr>
          <w:rFonts w:ascii="Open Sans Light" w:eastAsia="Times New Roman" w:hAnsi="Open Sans Light" w:cs="Open Sans Light"/>
          <w:sz w:val="20"/>
          <w:szCs w:val="20"/>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14:paraId="770CA93E" w14:textId="77777777" w:rsidR="00D6005B" w:rsidRPr="00D6005B" w:rsidRDefault="00D6005B" w:rsidP="00D6005B">
      <w:pPr>
        <w:tabs>
          <w:tab w:val="left" w:pos="-720"/>
          <w:tab w:val="left" w:pos="0"/>
          <w:tab w:val="left" w:pos="720"/>
        </w:tabs>
        <w:spacing w:after="0" w:line="240" w:lineRule="auto"/>
        <w:rPr>
          <w:rFonts w:ascii="Open Sans Light" w:eastAsia="Times New Roman" w:hAnsi="Open Sans Light" w:cs="Open Sans Light"/>
          <w:sz w:val="20"/>
          <w:szCs w:val="20"/>
        </w:rPr>
      </w:pPr>
    </w:p>
    <w:p w14:paraId="3BC5A995" w14:textId="77777777" w:rsidR="00D6005B" w:rsidRPr="00D6005B" w:rsidRDefault="00D6005B" w:rsidP="00D6005B">
      <w:pPr>
        <w:tabs>
          <w:tab w:val="left" w:pos="-720"/>
          <w:tab w:val="left" w:pos="0"/>
          <w:tab w:val="left" w:pos="720"/>
        </w:tabs>
        <w:spacing w:after="0" w:line="240" w:lineRule="auto"/>
        <w:rPr>
          <w:rFonts w:ascii="Open Sans Light" w:eastAsia="Times New Roman" w:hAnsi="Open Sans Light" w:cs="Open Sans Light"/>
          <w:sz w:val="20"/>
          <w:szCs w:val="20"/>
        </w:rPr>
      </w:pPr>
      <w:r w:rsidRPr="00D6005B">
        <w:rPr>
          <w:rFonts w:ascii="Open Sans Light" w:eastAsia="Times New Roman" w:hAnsi="Open Sans Light" w:cs="Open Sans Light"/>
          <w:sz w:val="20"/>
          <w:szCs w:val="20"/>
        </w:rPr>
        <w:t>The post you have applied for falls into this category and, therefore, requires a criminal background check.</w:t>
      </w:r>
    </w:p>
    <w:p w14:paraId="29078EEC" w14:textId="77777777" w:rsidR="00D6005B" w:rsidRPr="00D6005B" w:rsidRDefault="00D6005B" w:rsidP="00D6005B">
      <w:pPr>
        <w:tabs>
          <w:tab w:val="left" w:pos="-720"/>
          <w:tab w:val="left" w:pos="0"/>
          <w:tab w:val="left" w:pos="720"/>
        </w:tabs>
        <w:spacing w:after="0" w:line="240" w:lineRule="auto"/>
        <w:rPr>
          <w:rFonts w:ascii="Open Sans Light" w:eastAsia="Times New Roman" w:hAnsi="Open Sans Light" w:cs="Open Sans Light"/>
          <w:sz w:val="20"/>
          <w:szCs w:val="20"/>
        </w:rPr>
      </w:pPr>
    </w:p>
    <w:p w14:paraId="2202CCC0" w14:textId="77777777" w:rsidR="00D6005B" w:rsidRPr="00D6005B" w:rsidRDefault="00D6005B" w:rsidP="00D6005B">
      <w:pPr>
        <w:tabs>
          <w:tab w:val="left" w:pos="-720"/>
          <w:tab w:val="left" w:pos="0"/>
          <w:tab w:val="left" w:pos="720"/>
        </w:tabs>
        <w:spacing w:after="0" w:line="240" w:lineRule="auto"/>
        <w:rPr>
          <w:rFonts w:ascii="Open Sans Light" w:eastAsia="Times New Roman" w:hAnsi="Open Sans Light" w:cs="Open Sans Light"/>
          <w:sz w:val="20"/>
          <w:szCs w:val="20"/>
        </w:rPr>
      </w:pPr>
      <w:r w:rsidRPr="00D6005B">
        <w:rPr>
          <w:rFonts w:ascii="Open Sans Light" w:eastAsia="Times New Roman" w:hAnsi="Open Sans Light" w:cs="Open Sans Light"/>
          <w:sz w:val="20"/>
          <w:szCs w:val="20"/>
        </w:rPr>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14:paraId="6075B37F" w14:textId="77777777" w:rsidR="00D6005B" w:rsidRPr="00D6005B" w:rsidRDefault="00D6005B" w:rsidP="00D6005B">
      <w:pPr>
        <w:tabs>
          <w:tab w:val="left" w:pos="-720"/>
          <w:tab w:val="left" w:pos="0"/>
          <w:tab w:val="left" w:pos="720"/>
        </w:tabs>
        <w:spacing w:after="0" w:line="240" w:lineRule="auto"/>
        <w:rPr>
          <w:rFonts w:ascii="Open Sans Light" w:eastAsia="Times New Roman" w:hAnsi="Open Sans Light" w:cs="Open Sans Light"/>
          <w:sz w:val="20"/>
          <w:szCs w:val="20"/>
        </w:rPr>
      </w:pPr>
    </w:p>
    <w:p w14:paraId="1E73EF7F" w14:textId="77777777" w:rsidR="00D6005B" w:rsidRPr="00D6005B" w:rsidRDefault="00D6005B" w:rsidP="00D6005B">
      <w:pPr>
        <w:tabs>
          <w:tab w:val="left" w:pos="-720"/>
          <w:tab w:val="left" w:pos="0"/>
          <w:tab w:val="left" w:pos="720"/>
        </w:tabs>
        <w:spacing w:after="0" w:line="240" w:lineRule="auto"/>
        <w:rPr>
          <w:rFonts w:ascii="Open Sans Light" w:eastAsia="Times New Roman" w:hAnsi="Open Sans Light" w:cs="Open Sans Light"/>
          <w:sz w:val="20"/>
          <w:szCs w:val="20"/>
        </w:rPr>
      </w:pPr>
      <w:r w:rsidRPr="00D6005B">
        <w:rPr>
          <w:rFonts w:ascii="Open Sans Light" w:eastAsia="Times New Roman" w:hAnsi="Open Sans Light" w:cs="Open Sans Light"/>
          <w:sz w:val="20"/>
          <w:szCs w:val="20"/>
        </w:rPr>
        <w:t>The DBS Disclosure will also indicate whether information is held on government faculty lists of those individuals who are barred from working with children or vulnerable adults (if applicable).</w:t>
      </w:r>
    </w:p>
    <w:p w14:paraId="60B7A53D" w14:textId="77777777" w:rsidR="00D6005B" w:rsidRPr="00D6005B" w:rsidRDefault="00D6005B" w:rsidP="00D6005B">
      <w:pPr>
        <w:tabs>
          <w:tab w:val="left" w:pos="-720"/>
          <w:tab w:val="left" w:pos="0"/>
          <w:tab w:val="left" w:pos="720"/>
        </w:tabs>
        <w:spacing w:after="0" w:line="240" w:lineRule="auto"/>
        <w:rPr>
          <w:rFonts w:ascii="Open Sans Light" w:eastAsia="Times New Roman" w:hAnsi="Open Sans Light" w:cs="Open Sans Light"/>
          <w:sz w:val="20"/>
          <w:szCs w:val="20"/>
        </w:rPr>
      </w:pPr>
    </w:p>
    <w:p w14:paraId="004B07A8" w14:textId="77777777" w:rsidR="00D6005B" w:rsidRPr="00D6005B" w:rsidRDefault="00D6005B" w:rsidP="00D6005B">
      <w:pPr>
        <w:tabs>
          <w:tab w:val="left" w:pos="-720"/>
          <w:tab w:val="left" w:pos="0"/>
          <w:tab w:val="left" w:pos="720"/>
        </w:tabs>
        <w:spacing w:after="0" w:line="240" w:lineRule="auto"/>
        <w:rPr>
          <w:rFonts w:ascii="Open Sans Light" w:eastAsia="Times New Roman" w:hAnsi="Open Sans Light" w:cs="Open Sans Light"/>
          <w:sz w:val="20"/>
          <w:szCs w:val="20"/>
        </w:rPr>
      </w:pPr>
      <w:r w:rsidRPr="00D6005B">
        <w:rPr>
          <w:rFonts w:ascii="Open Sans Light" w:eastAsia="Times New Roman" w:hAnsi="Open Sans Light" w:cs="Open Sans Light"/>
          <w:sz w:val="20"/>
          <w:szCs w:val="20"/>
        </w:rPr>
        <w:t>The post-holder cannot begin employment with the College until the DBS Disclosure Certificate is received and considered by the Principal.</w:t>
      </w:r>
    </w:p>
    <w:p w14:paraId="59715A1F" w14:textId="77777777" w:rsidR="00D6005B" w:rsidRPr="00D6005B" w:rsidRDefault="00D6005B" w:rsidP="00D6005B">
      <w:pPr>
        <w:spacing w:after="0" w:line="240" w:lineRule="auto"/>
        <w:ind w:left="360"/>
        <w:contextualSpacing/>
        <w:jc w:val="both"/>
        <w:rPr>
          <w:rFonts w:ascii="Open Sans Light" w:eastAsia="Times New Roman" w:hAnsi="Open Sans Light" w:cs="Open Sans Light"/>
          <w:sz w:val="20"/>
          <w:szCs w:val="20"/>
        </w:rPr>
      </w:pPr>
    </w:p>
    <w:p w14:paraId="6C9B49E7" w14:textId="77777777" w:rsidR="00D6005B" w:rsidRPr="00D6005B" w:rsidRDefault="00D6005B" w:rsidP="00D6005B">
      <w:pPr>
        <w:spacing w:after="0" w:line="240" w:lineRule="auto"/>
        <w:rPr>
          <w:rFonts w:ascii="Open Sans Light" w:eastAsia="Calibri" w:hAnsi="Open Sans Light" w:cs="Open Sans Light"/>
          <w:b/>
          <w:sz w:val="20"/>
          <w:szCs w:val="20"/>
        </w:rPr>
      </w:pPr>
    </w:p>
    <w:p w14:paraId="1C6F07B3" w14:textId="77777777" w:rsidR="00D6005B" w:rsidRPr="00D6005B" w:rsidRDefault="00D6005B" w:rsidP="00D6005B">
      <w:pPr>
        <w:tabs>
          <w:tab w:val="left" w:pos="-720"/>
          <w:tab w:val="left" w:pos="0"/>
        </w:tabs>
        <w:spacing w:after="0" w:line="240" w:lineRule="auto"/>
        <w:jc w:val="both"/>
        <w:rPr>
          <w:rFonts w:ascii="Segoe UI" w:eastAsia="Calibri" w:hAnsi="Segoe UI" w:cs="Segoe UI"/>
          <w:b/>
          <w:u w:val="single"/>
        </w:rPr>
      </w:pPr>
    </w:p>
    <w:p w14:paraId="6A871D57" w14:textId="77777777" w:rsidR="00D6005B" w:rsidRPr="00D6005B" w:rsidRDefault="00D6005B" w:rsidP="00D6005B">
      <w:pPr>
        <w:tabs>
          <w:tab w:val="left" w:pos="-720"/>
          <w:tab w:val="left" w:pos="0"/>
        </w:tabs>
        <w:spacing w:after="0" w:line="240" w:lineRule="auto"/>
        <w:jc w:val="both"/>
        <w:rPr>
          <w:rFonts w:ascii="Segoe UI" w:eastAsia="Calibri" w:hAnsi="Segoe UI" w:cs="Segoe UI"/>
          <w:b/>
          <w:u w:val="single"/>
        </w:rPr>
      </w:pPr>
    </w:p>
    <w:p w14:paraId="437F0939" w14:textId="77777777" w:rsidR="00D6005B" w:rsidRPr="006B61A4" w:rsidRDefault="00D6005B" w:rsidP="00244871">
      <w:pPr>
        <w:tabs>
          <w:tab w:val="left" w:pos="-720"/>
          <w:tab w:val="left" w:pos="0"/>
          <w:tab w:val="left" w:pos="720"/>
        </w:tabs>
        <w:spacing w:after="0" w:line="240" w:lineRule="auto"/>
        <w:rPr>
          <w:rFonts w:ascii="Open Sans Light" w:eastAsia="Times New Roman" w:hAnsi="Open Sans Light" w:cs="Open Sans Light"/>
          <w:sz w:val="20"/>
          <w:szCs w:val="20"/>
        </w:rPr>
      </w:pPr>
    </w:p>
    <w:sectPr w:rsidR="00D6005B" w:rsidRPr="006B61A4" w:rsidSect="00BC2ECC">
      <w:headerReference w:type="default" r:id="rId11"/>
      <w:footerReference w:type="default" r:id="rId12"/>
      <w:pgSz w:w="11906" w:h="16838"/>
      <w:pgMar w:top="1440" w:right="1274"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D91AC" w14:textId="77777777" w:rsidR="00B557DB" w:rsidRDefault="00B557DB" w:rsidP="00ED0047">
      <w:pPr>
        <w:spacing w:after="0" w:line="240" w:lineRule="auto"/>
      </w:pPr>
      <w:r>
        <w:separator/>
      </w:r>
    </w:p>
  </w:endnote>
  <w:endnote w:type="continuationSeparator" w:id="0">
    <w:p w14:paraId="21BBACEF" w14:textId="77777777" w:rsidR="00B557DB" w:rsidRDefault="00B557DB" w:rsidP="00ED0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BCE94" w14:textId="1649033F" w:rsidR="00C74DC0" w:rsidRPr="006B61A4" w:rsidRDefault="00522973" w:rsidP="00522973">
    <w:pPr>
      <w:pStyle w:val="Footer"/>
      <w:rPr>
        <w:rFonts w:ascii="Open Sans Light" w:hAnsi="Open Sans Light" w:cs="Open Sans Light"/>
        <w:sz w:val="16"/>
        <w:szCs w:val="16"/>
        <w:lang w:val="en-US"/>
      </w:rPr>
    </w:pPr>
    <w:r w:rsidRPr="006B61A4">
      <w:rPr>
        <w:rFonts w:ascii="Open Sans Light" w:hAnsi="Open Sans Light" w:cs="Open Sans Light"/>
        <w:sz w:val="16"/>
        <w:szCs w:val="16"/>
        <w:lang w:val="en-US"/>
      </w:rPr>
      <w:t>Learning Support Tutor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57EF7" w14:textId="77777777" w:rsidR="00B557DB" w:rsidRDefault="00B557DB" w:rsidP="00ED0047">
      <w:pPr>
        <w:spacing w:after="0" w:line="240" w:lineRule="auto"/>
      </w:pPr>
      <w:r>
        <w:separator/>
      </w:r>
    </w:p>
  </w:footnote>
  <w:footnote w:type="continuationSeparator" w:id="0">
    <w:p w14:paraId="77EA1B6D" w14:textId="77777777" w:rsidR="00B557DB" w:rsidRDefault="00B557DB" w:rsidP="00ED0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6"/>
    </w:tblGrid>
    <w:tr w:rsidR="00157601" w14:paraId="6F9D662B" w14:textId="77777777" w:rsidTr="00095A19">
      <w:tc>
        <w:tcPr>
          <w:tcW w:w="3115" w:type="dxa"/>
        </w:tcPr>
        <w:p w14:paraId="7A356301" w14:textId="77777777" w:rsidR="00157601" w:rsidRPr="006B61A4" w:rsidRDefault="00157601" w:rsidP="00095A19">
          <w:pPr>
            <w:pStyle w:val="Header"/>
            <w:rPr>
              <w:rFonts w:ascii="Open Sans Light" w:hAnsi="Open Sans Light" w:cs="Open Sans Light"/>
              <w:sz w:val="16"/>
              <w:szCs w:val="16"/>
            </w:rPr>
          </w:pPr>
          <w:r w:rsidRPr="006B61A4">
            <w:rPr>
              <w:rFonts w:ascii="Open Sans Light" w:hAnsi="Open Sans Light" w:cs="Open Sans Light"/>
              <w:sz w:val="16"/>
              <w:szCs w:val="16"/>
            </w:rPr>
            <w:t>Date Issued:</w:t>
          </w:r>
        </w:p>
      </w:tc>
      <w:tc>
        <w:tcPr>
          <w:tcW w:w="3115" w:type="dxa"/>
        </w:tcPr>
        <w:p w14:paraId="6D2424C2" w14:textId="77777777" w:rsidR="00157601" w:rsidRPr="006B61A4" w:rsidRDefault="00157601" w:rsidP="00095A19">
          <w:pPr>
            <w:pStyle w:val="Header"/>
            <w:rPr>
              <w:rFonts w:ascii="Open Sans Light" w:hAnsi="Open Sans Light" w:cs="Open Sans Light"/>
              <w:sz w:val="16"/>
              <w:szCs w:val="16"/>
            </w:rPr>
          </w:pPr>
          <w:r w:rsidRPr="006B61A4">
            <w:rPr>
              <w:rFonts w:ascii="Open Sans Light" w:hAnsi="Open Sans Light" w:cs="Open Sans Light"/>
              <w:sz w:val="16"/>
              <w:szCs w:val="16"/>
            </w:rPr>
            <w:t>JD Category:</w:t>
          </w:r>
        </w:p>
      </w:tc>
      <w:tc>
        <w:tcPr>
          <w:tcW w:w="3116" w:type="dxa"/>
        </w:tcPr>
        <w:p w14:paraId="1EA30902" w14:textId="77777777" w:rsidR="00157601" w:rsidRPr="006B61A4" w:rsidRDefault="00157601" w:rsidP="00095A19">
          <w:pPr>
            <w:pStyle w:val="Header"/>
            <w:rPr>
              <w:rFonts w:ascii="Open Sans Light" w:hAnsi="Open Sans Light" w:cs="Open Sans Light"/>
              <w:sz w:val="16"/>
              <w:szCs w:val="16"/>
            </w:rPr>
          </w:pPr>
          <w:r w:rsidRPr="006B61A4">
            <w:rPr>
              <w:rFonts w:ascii="Open Sans Light" w:hAnsi="Open Sans Light" w:cs="Open Sans Light"/>
              <w:sz w:val="16"/>
              <w:szCs w:val="16"/>
            </w:rPr>
            <w:t>Agreed by:</w:t>
          </w:r>
        </w:p>
      </w:tc>
    </w:tr>
  </w:tbl>
  <w:p w14:paraId="046574AA" w14:textId="77777777" w:rsidR="00C74DC0" w:rsidRPr="00157601" w:rsidRDefault="00C74DC0" w:rsidP="00157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44D1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3561D"/>
    <w:multiLevelType w:val="hybridMultilevel"/>
    <w:tmpl w:val="C8D07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30948"/>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FE6111"/>
    <w:multiLevelType w:val="hybridMultilevel"/>
    <w:tmpl w:val="408A3F8E"/>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4" w15:restartNumberingAfterBreak="0">
    <w:nsid w:val="0ECB28B7"/>
    <w:multiLevelType w:val="hybridMultilevel"/>
    <w:tmpl w:val="75907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036566"/>
    <w:multiLevelType w:val="hybridMultilevel"/>
    <w:tmpl w:val="7012D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E84D08"/>
    <w:multiLevelType w:val="hybridMultilevel"/>
    <w:tmpl w:val="C06EE352"/>
    <w:lvl w:ilvl="0" w:tplc="5C6E73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B6313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E808F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EE50D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AA106B"/>
    <w:multiLevelType w:val="hybridMultilevel"/>
    <w:tmpl w:val="72720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6F13AE"/>
    <w:multiLevelType w:val="hybridMultilevel"/>
    <w:tmpl w:val="58FC39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494198"/>
    <w:multiLevelType w:val="multilevel"/>
    <w:tmpl w:val="E83CE33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310677E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0C0CB2"/>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E63476"/>
    <w:multiLevelType w:val="hybridMultilevel"/>
    <w:tmpl w:val="B0B82BE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B71239"/>
    <w:multiLevelType w:val="hybridMultilevel"/>
    <w:tmpl w:val="F0E8A334"/>
    <w:lvl w:ilvl="0" w:tplc="5C6E73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705CC6"/>
    <w:multiLevelType w:val="hybridMultilevel"/>
    <w:tmpl w:val="A6CC79E6"/>
    <w:lvl w:ilvl="0" w:tplc="3FCCE52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BD4FFA"/>
    <w:multiLevelType w:val="hybridMultilevel"/>
    <w:tmpl w:val="E83CE3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8731E8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97363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2A287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921EBC"/>
    <w:multiLevelType w:val="hybridMultilevel"/>
    <w:tmpl w:val="7CBA5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256B67"/>
    <w:multiLevelType w:val="hybridMultilevel"/>
    <w:tmpl w:val="529201C8"/>
    <w:lvl w:ilvl="0" w:tplc="04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1D139D7"/>
    <w:multiLevelType w:val="hybridMultilevel"/>
    <w:tmpl w:val="8728B4C2"/>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72BF52A6"/>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24162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E11969"/>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9"/>
  </w:num>
  <w:num w:numId="3">
    <w:abstractNumId w:val="13"/>
  </w:num>
  <w:num w:numId="4">
    <w:abstractNumId w:val="12"/>
  </w:num>
  <w:num w:numId="5">
    <w:abstractNumId w:val="28"/>
  </w:num>
  <w:num w:numId="6">
    <w:abstractNumId w:val="27"/>
  </w:num>
  <w:num w:numId="7">
    <w:abstractNumId w:val="0"/>
  </w:num>
  <w:num w:numId="8">
    <w:abstractNumId w:val="7"/>
  </w:num>
  <w:num w:numId="9">
    <w:abstractNumId w:val="15"/>
  </w:num>
  <w:num w:numId="10">
    <w:abstractNumId w:val="22"/>
  </w:num>
  <w:num w:numId="11">
    <w:abstractNumId w:val="8"/>
  </w:num>
  <w:num w:numId="12">
    <w:abstractNumId w:val="21"/>
  </w:num>
  <w:num w:numId="13">
    <w:abstractNumId w:val="17"/>
  </w:num>
  <w:num w:numId="14">
    <w:abstractNumId w:val="6"/>
  </w:num>
  <w:num w:numId="15">
    <w:abstractNumId w:val="2"/>
  </w:num>
  <w:num w:numId="16">
    <w:abstractNumId w:val="3"/>
  </w:num>
  <w:num w:numId="17">
    <w:abstractNumId w:val="9"/>
  </w:num>
  <w:num w:numId="18">
    <w:abstractNumId w:val="14"/>
  </w:num>
  <w:num w:numId="19">
    <w:abstractNumId w:val="10"/>
  </w:num>
  <w:num w:numId="20">
    <w:abstractNumId w:val="20"/>
  </w:num>
  <w:num w:numId="21">
    <w:abstractNumId w:val="26"/>
  </w:num>
  <w:num w:numId="22">
    <w:abstractNumId w:val="24"/>
  </w:num>
  <w:num w:numId="23">
    <w:abstractNumId w:val="5"/>
  </w:num>
  <w:num w:numId="24">
    <w:abstractNumId w:val="4"/>
  </w:num>
  <w:num w:numId="25">
    <w:abstractNumId w:val="11"/>
  </w:num>
  <w:num w:numId="26">
    <w:abstractNumId w:val="1"/>
  </w:num>
  <w:num w:numId="27">
    <w:abstractNumId w:val="23"/>
  </w:num>
  <w:num w:numId="28">
    <w:abstractNumId w:val="16"/>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C4A"/>
    <w:rsid w:val="00006F23"/>
    <w:rsid w:val="000232BE"/>
    <w:rsid w:val="00027E05"/>
    <w:rsid w:val="00043B56"/>
    <w:rsid w:val="00075D65"/>
    <w:rsid w:val="00090411"/>
    <w:rsid w:val="0009585D"/>
    <w:rsid w:val="000A4CEF"/>
    <w:rsid w:val="000B0507"/>
    <w:rsid w:val="000F3F5D"/>
    <w:rsid w:val="00123E57"/>
    <w:rsid w:val="00125D0C"/>
    <w:rsid w:val="00132E9A"/>
    <w:rsid w:val="0013330A"/>
    <w:rsid w:val="00137858"/>
    <w:rsid w:val="00157601"/>
    <w:rsid w:val="001668A0"/>
    <w:rsid w:val="0017023D"/>
    <w:rsid w:val="00194714"/>
    <w:rsid w:val="001B1597"/>
    <w:rsid w:val="001B173E"/>
    <w:rsid w:val="001B5257"/>
    <w:rsid w:val="001F78A9"/>
    <w:rsid w:val="00211DA2"/>
    <w:rsid w:val="002248B2"/>
    <w:rsid w:val="00231A97"/>
    <w:rsid w:val="00244871"/>
    <w:rsid w:val="002604E6"/>
    <w:rsid w:val="00275518"/>
    <w:rsid w:val="002811F3"/>
    <w:rsid w:val="002828DE"/>
    <w:rsid w:val="00293CF4"/>
    <w:rsid w:val="00294E70"/>
    <w:rsid w:val="002950CF"/>
    <w:rsid w:val="002C64B9"/>
    <w:rsid w:val="002D4FBF"/>
    <w:rsid w:val="002D796D"/>
    <w:rsid w:val="00315808"/>
    <w:rsid w:val="00337065"/>
    <w:rsid w:val="00353222"/>
    <w:rsid w:val="003717FE"/>
    <w:rsid w:val="003740FC"/>
    <w:rsid w:val="00392B30"/>
    <w:rsid w:val="00394171"/>
    <w:rsid w:val="003B278D"/>
    <w:rsid w:val="003B677B"/>
    <w:rsid w:val="003C083E"/>
    <w:rsid w:val="003C2A7C"/>
    <w:rsid w:val="003C7D2A"/>
    <w:rsid w:val="003E2FAC"/>
    <w:rsid w:val="00415945"/>
    <w:rsid w:val="0043391B"/>
    <w:rsid w:val="004551DA"/>
    <w:rsid w:val="004A1ED5"/>
    <w:rsid w:val="004B53AC"/>
    <w:rsid w:val="004F2331"/>
    <w:rsid w:val="00522973"/>
    <w:rsid w:val="005459EE"/>
    <w:rsid w:val="0055099F"/>
    <w:rsid w:val="00565779"/>
    <w:rsid w:val="00566F83"/>
    <w:rsid w:val="00587394"/>
    <w:rsid w:val="0059110C"/>
    <w:rsid w:val="005D7053"/>
    <w:rsid w:val="005E18F9"/>
    <w:rsid w:val="006026D5"/>
    <w:rsid w:val="00635CDC"/>
    <w:rsid w:val="00653CBB"/>
    <w:rsid w:val="006B2A30"/>
    <w:rsid w:val="006B61A4"/>
    <w:rsid w:val="006C0FB7"/>
    <w:rsid w:val="006C4850"/>
    <w:rsid w:val="006C76B6"/>
    <w:rsid w:val="006E1D31"/>
    <w:rsid w:val="006F3B3F"/>
    <w:rsid w:val="006F6B6E"/>
    <w:rsid w:val="007121BA"/>
    <w:rsid w:val="00723DE0"/>
    <w:rsid w:val="007304C9"/>
    <w:rsid w:val="00732116"/>
    <w:rsid w:val="00760374"/>
    <w:rsid w:val="0076333E"/>
    <w:rsid w:val="0077631E"/>
    <w:rsid w:val="00777E1E"/>
    <w:rsid w:val="00792523"/>
    <w:rsid w:val="00794D2E"/>
    <w:rsid w:val="007A19FB"/>
    <w:rsid w:val="007B61A9"/>
    <w:rsid w:val="007C2734"/>
    <w:rsid w:val="007D4781"/>
    <w:rsid w:val="007F22FF"/>
    <w:rsid w:val="008016E6"/>
    <w:rsid w:val="00892987"/>
    <w:rsid w:val="008B1C02"/>
    <w:rsid w:val="008B73C3"/>
    <w:rsid w:val="008D0AED"/>
    <w:rsid w:val="008D0F7B"/>
    <w:rsid w:val="008D213C"/>
    <w:rsid w:val="008D4827"/>
    <w:rsid w:val="008E494A"/>
    <w:rsid w:val="00931038"/>
    <w:rsid w:val="009B3DFC"/>
    <w:rsid w:val="009B7B8A"/>
    <w:rsid w:val="009C1A71"/>
    <w:rsid w:val="009C6F88"/>
    <w:rsid w:val="009E3A0B"/>
    <w:rsid w:val="00A162FA"/>
    <w:rsid w:val="00A35F04"/>
    <w:rsid w:val="00A43EEB"/>
    <w:rsid w:val="00A6065A"/>
    <w:rsid w:val="00A81AD2"/>
    <w:rsid w:val="00A9004C"/>
    <w:rsid w:val="00AA7BAE"/>
    <w:rsid w:val="00AD5CF5"/>
    <w:rsid w:val="00B03681"/>
    <w:rsid w:val="00B1540F"/>
    <w:rsid w:val="00B26C4A"/>
    <w:rsid w:val="00B26D97"/>
    <w:rsid w:val="00B412FB"/>
    <w:rsid w:val="00B557DB"/>
    <w:rsid w:val="00BC2ECC"/>
    <w:rsid w:val="00BD0AE1"/>
    <w:rsid w:val="00BE58F7"/>
    <w:rsid w:val="00BF6792"/>
    <w:rsid w:val="00C223EE"/>
    <w:rsid w:val="00C555C0"/>
    <w:rsid w:val="00C61A28"/>
    <w:rsid w:val="00C74DC0"/>
    <w:rsid w:val="00C8605A"/>
    <w:rsid w:val="00C94A78"/>
    <w:rsid w:val="00CA5AFB"/>
    <w:rsid w:val="00CA624D"/>
    <w:rsid w:val="00CB2A78"/>
    <w:rsid w:val="00CB4249"/>
    <w:rsid w:val="00CB7790"/>
    <w:rsid w:val="00CC7F19"/>
    <w:rsid w:val="00CE3F4B"/>
    <w:rsid w:val="00CF5B57"/>
    <w:rsid w:val="00D005BA"/>
    <w:rsid w:val="00D14B63"/>
    <w:rsid w:val="00D52A5F"/>
    <w:rsid w:val="00D6005B"/>
    <w:rsid w:val="00DA178F"/>
    <w:rsid w:val="00DA2A44"/>
    <w:rsid w:val="00DB55AF"/>
    <w:rsid w:val="00DC3382"/>
    <w:rsid w:val="00DD6089"/>
    <w:rsid w:val="00E16896"/>
    <w:rsid w:val="00E46835"/>
    <w:rsid w:val="00E6640E"/>
    <w:rsid w:val="00E66455"/>
    <w:rsid w:val="00E7197E"/>
    <w:rsid w:val="00E775BA"/>
    <w:rsid w:val="00E8074E"/>
    <w:rsid w:val="00E818E8"/>
    <w:rsid w:val="00E8541F"/>
    <w:rsid w:val="00E9558A"/>
    <w:rsid w:val="00EA1D67"/>
    <w:rsid w:val="00ED0047"/>
    <w:rsid w:val="00ED14C0"/>
    <w:rsid w:val="00F02465"/>
    <w:rsid w:val="00F16C8E"/>
    <w:rsid w:val="00F2243A"/>
    <w:rsid w:val="00F3378D"/>
    <w:rsid w:val="00F40568"/>
    <w:rsid w:val="00F7425D"/>
    <w:rsid w:val="00F758CC"/>
    <w:rsid w:val="00FA2FC9"/>
    <w:rsid w:val="00FD6E4A"/>
    <w:rsid w:val="00FE27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EFA2A7"/>
  <w15:docId w15:val="{BF802D83-CD43-4805-84EE-6164BFAAA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36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2FB"/>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table" w:styleId="TableGrid">
    <w:name w:val="Table Grid"/>
    <w:basedOn w:val="TableNormal"/>
    <w:uiPriority w:val="39"/>
    <w:rsid w:val="00B41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0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FB7"/>
    <w:rPr>
      <w:rFonts w:ascii="Segoe UI" w:hAnsi="Segoe UI" w:cs="Segoe UI"/>
      <w:sz w:val="18"/>
      <w:szCs w:val="18"/>
    </w:rPr>
  </w:style>
  <w:style w:type="table" w:customStyle="1" w:styleId="TableGrid1">
    <w:name w:val="Table Grid1"/>
    <w:basedOn w:val="TableNormal"/>
    <w:next w:val="TableGrid"/>
    <w:uiPriority w:val="39"/>
    <w:rsid w:val="006E1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004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D0047"/>
  </w:style>
  <w:style w:type="paragraph" w:styleId="Footer">
    <w:name w:val="footer"/>
    <w:basedOn w:val="Normal"/>
    <w:link w:val="FooterChar"/>
    <w:uiPriority w:val="99"/>
    <w:unhideWhenUsed/>
    <w:rsid w:val="00ED004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D0047"/>
  </w:style>
  <w:style w:type="paragraph" w:styleId="BodyText">
    <w:name w:val="Body Text"/>
    <w:basedOn w:val="Normal"/>
    <w:link w:val="BodyTextChar"/>
    <w:semiHidden/>
    <w:rsid w:val="004551DA"/>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4551DA"/>
    <w:rPr>
      <w:rFonts w:ascii="Helvetica" w:eastAsia="Times New Roman" w:hAnsi="Helvetica" w:cs="Times New Roman"/>
      <w:sz w:val="16"/>
      <w:szCs w:val="20"/>
    </w:rPr>
  </w:style>
  <w:style w:type="table" w:customStyle="1" w:styleId="TableGrid2">
    <w:name w:val="Table Grid2"/>
    <w:basedOn w:val="TableNormal"/>
    <w:next w:val="TableGrid"/>
    <w:uiPriority w:val="39"/>
    <w:rsid w:val="006B61A4"/>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E428F8049C654FBCB99D8BF53FDD76" ma:contentTypeVersion="13" ma:contentTypeDescription="Create a new document." ma:contentTypeScope="" ma:versionID="fe91b80f68b6b657b1ecf9ae6274041b">
  <xsd:schema xmlns:xsd="http://www.w3.org/2001/XMLSchema" xmlns:xs="http://www.w3.org/2001/XMLSchema" xmlns:p="http://schemas.microsoft.com/office/2006/metadata/properties" xmlns:ns3="fb371332-208d-46f6-a4f5-533d8b283a87" xmlns:ns4="1d94e000-5b9a-4e38-a5ac-8620caa6d0c5" targetNamespace="http://schemas.microsoft.com/office/2006/metadata/properties" ma:root="true" ma:fieldsID="6fa8ee28f282e64e4c1219d5da8e6457" ns3:_="" ns4:_="">
    <xsd:import namespace="fb371332-208d-46f6-a4f5-533d8b283a87"/>
    <xsd:import namespace="1d94e000-5b9a-4e38-a5ac-8620caa6d0c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371332-208d-46f6-a4f5-533d8b283a8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94e000-5b9a-4e38-a5ac-8620caa6d0c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88F01E-DE12-49FE-8A29-86C7931DD2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04C5EC-2CBD-40FD-BEE0-82480847D720}">
  <ds:schemaRefs>
    <ds:schemaRef ds:uri="http://schemas.microsoft.com/sharepoint/v3/contenttype/forms"/>
  </ds:schemaRefs>
</ds:datastoreItem>
</file>

<file path=customXml/itemProps3.xml><?xml version="1.0" encoding="utf-8"?>
<ds:datastoreItem xmlns:ds="http://schemas.openxmlformats.org/officeDocument/2006/customXml" ds:itemID="{33923F0E-6B1B-4717-A587-69C747478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371332-208d-46f6-a4f5-533d8b283a87"/>
    <ds:schemaRef ds:uri="1d94e000-5b9a-4e38-a5ac-8620caa6d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1288</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Hilary Robinson</cp:lastModifiedBy>
  <cp:revision>6</cp:revision>
  <cp:lastPrinted>2016-12-15T09:50:00Z</cp:lastPrinted>
  <dcterms:created xsi:type="dcterms:W3CDTF">2020-09-09T13:17:00Z</dcterms:created>
  <dcterms:modified xsi:type="dcterms:W3CDTF">2020-09-15T07:29:00Z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0x0101007CE428F8049C654FBCB99D8BF53FDD76</vt:lpwstr>
  </property>
</Properties>
</file>